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image/png" PartName="/word/media/document_image_rId9.png"/>
  <Override ContentType="image/png" PartName="/word/media/document_image_rId10.png"/>
  <Override ContentType="image/png" PartName="/word/media/document_image_rId11.png"/>
  <Override ContentType="image/png" PartName="/word/media/document_image_rId12.png"/>
  <Override ContentType="image/png" PartName="/word/media/document_image_rId13.png"/>
  <Override ContentType="image/png" PartName="/word/media/document_image_rId14.png"/>
  <Override ContentType="image/png" PartName="/word/media/document_image_rId15.png"/>
  <Override ContentType="image/png" PartName="/word/media/document_image_rId16.png"/>
  <Override ContentType="image/png" PartName="/word/media/document_image_rId17.png"/>
  <Override ContentType="image/png" PartName="/word/media/document_image_rId18.png"/>
  <Override ContentType="image/png" PartName="/word/media/document_image_rId19.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【技术白皮书】给光伏电站配一支“永不休息的AI运维团队”：机器人当班、算法坐诊、Agent派单</w:t>
      </w:r>
    </w:p>
    <w:p>
      <w:pPr>
        <w:pStyle w:val="Heading1"/>
        <w:spacing w:after="50" w:line="360" w:lineRule="auto" w:beforeLines="100"/>
        <w:ind w:left="0"/>
        <w:jc w:val="left"/>
      </w:pPr>
      <w:bookmarkStart w:name="zjuQ4" w:id="0"/>
      <w:bookmarkStart w:name="ue92a9310" w:id="1"/>
      <w:r>
        <w:rPr>
          <w:rFonts w:eastAsia="宋体" w:ascii="宋体"/>
        </w:rPr>
        <w:drawing>
          <wp:inline distT="0" distB="0" distL="0" distR="0">
            <wp:extent cx="5841999" cy="37972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9872134" cy="641680"/>
                    </a:xfrm>
                    <a:prstGeom prst="rect">
                      <a:avLst/>
                    </a:prstGeom>
                  </pic:spPr>
                </pic:pic>
              </a:graphicData>
            </a:graphic>
          </wp:inline>
        </w:drawing>
      </w:r>
      <w:bookmarkEnd w:id="1"/>
    </w:p>
    <w:bookmarkEnd w:id="0"/>
    <w:bookmarkStart w:name="u207d9162" w:id="2"/>
    <w:p>
      <w:pPr>
        <w:spacing w:after="50" w:line="360" w:lineRule="auto" w:beforeLines="100"/>
        <w:ind w:left="0"/>
        <w:jc w:val="left"/>
      </w:pPr>
      <w:r>
        <w:rPr>
          <w:rFonts w:ascii="宋体" w:hAnsi="Times New Roman" w:eastAsia="宋体"/>
          <w:b/>
          <w:i w:val="false"/>
          <w:color w:val="000000"/>
          <w:sz w:val="22"/>
        </w:rPr>
        <w:t>导语：</w:t>
      </w:r>
      <w:r>
        <w:rPr>
          <w:rFonts w:ascii="宋体" w:hAnsi="Times New Roman" w:eastAsia="宋体"/>
          <w:b w:val="false"/>
          <w:i w:val="false"/>
          <w:color w:val="000000"/>
          <w:sz w:val="22"/>
        </w:rPr>
        <w:t xml:space="preserve"> 当清扫机器人装上三模态“眼睛”、边缘芯片学会就地推理、四个AI Agent开始协同派工——光伏电站运维的技术栈发生了什么本质变化？本文以轨物科技与杭州电子科技大学联合团队的公开研究成果为基础，从机器人本体、检测算法、云边架构、决策体系四个层面，完整拆解这套已通过国标起草、浙江省首台（套）与华为鲲鹏认证检验的技术体系。</w:t>
      </w:r>
    </w:p>
    <w:bookmarkEnd w:id="2"/>
    <w:bookmarkStart w:name="u26ba0228" w:id="3"/>
    <w:p>
      <w:pPr>
        <w:spacing w:after="50" w:line="360" w:lineRule="auto" w:beforeLines="100"/>
        <w:ind w:left="0"/>
        <w:jc w:val="left"/>
      </w:pPr>
      <w:bookmarkStart w:name="u1bad42f2" w:id="4"/>
      <w:r>
        <w:rPr>
          <w:rFonts w:eastAsia="宋体" w:ascii="宋体"/>
        </w:rPr>
        <w:drawing>
          <wp:inline distT="0" distB="0" distL="0" distR="0">
            <wp:extent cx="5842000" cy="339415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7200800" cy="33233200"/>
                    </a:xfrm>
                    <a:prstGeom prst="rect">
                      <a:avLst/>
                    </a:prstGeom>
                  </pic:spPr>
                </pic:pic>
              </a:graphicData>
            </a:graphic>
          </wp:inline>
        </w:drawing>
      </w:r>
      <w:bookmarkEnd w:id="4"/>
    </w:p>
    <w:bookmarkEnd w:id="3"/>
    <w:bookmarkStart w:name="u4d189e67" w:id="5"/>
    <w:p>
      <w:pPr>
        <w:spacing w:after="50" w:line="360" w:lineRule="auto" w:beforeLines="100"/>
        <w:ind w:left="0"/>
        <w:jc w:val="left"/>
      </w:pPr>
      <w:bookmarkStart w:name="u1ee819cc" w:id="6"/>
      <w:r>
        <w:rPr>
          <w:rFonts w:eastAsia="宋体" w:ascii="宋体"/>
        </w:rPr>
        <w:drawing>
          <wp:inline distT="0" distB="0" distL="0" distR="0">
            <wp:extent cx="5842000" cy="130853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542933" cy="3929408"/>
                    </a:xfrm>
                    <a:prstGeom prst="rect">
                      <a:avLst/>
                    </a:prstGeom>
                  </pic:spPr>
                </pic:pic>
              </a:graphicData>
            </a:graphic>
          </wp:inline>
        </w:drawing>
      </w:r>
      <w:bookmarkEnd w:id="6"/>
    </w:p>
    <w:bookmarkEnd w:id="5"/>
    <w:bookmarkStart w:name="ud58ee3e0" w:id="7"/>
    <w:p>
      <w:pPr>
        <w:spacing w:after="50" w:line="360" w:lineRule="auto" w:beforeLines="100"/>
        <w:ind w:left="0"/>
        <w:jc w:val="left"/>
      </w:pPr>
      <w:r>
        <w:rPr>
          <w:rFonts w:ascii="宋体" w:hAnsi="Times New Roman" w:eastAsia="宋体"/>
          <w:b w:val="false"/>
          <w:i w:val="false"/>
          <w:color w:val="000000"/>
          <w:sz w:val="22"/>
        </w:rPr>
        <w:t>挂轨式清洁机器人的第一难，是双边双电机在恶劣工况下的同步与纠偏。团队的三层控制方案值得细看：</w:t>
      </w:r>
    </w:p>
    <w:bookmarkEnd w:id="7"/>
    <w:bookmarkStart w:name="u791807b9" w:id="8"/>
    <w:p>
      <w:pPr>
        <w:spacing w:after="50" w:line="360" w:lineRule="auto" w:beforeLines="100"/>
        <w:ind w:left="0"/>
        <w:jc w:val="left"/>
      </w:pPr>
      <w:r>
        <w:rPr>
          <w:rFonts w:ascii="宋体" w:hAnsi="Times New Roman" w:eastAsia="宋体"/>
          <w:b/>
          <w:i w:val="false"/>
          <w:color w:val="004347"/>
          <w:sz w:val="22"/>
        </w:rPr>
        <w:t>电机层——滑模观测器无感控制</w:t>
      </w:r>
      <w:r>
        <w:rPr>
          <w:rFonts w:ascii="宋体" w:hAnsi="Times New Roman" w:eastAsia="宋体"/>
          <w:b/>
          <w:i w:val="false"/>
          <w:color w:val="000000"/>
          <w:sz w:val="22"/>
        </w:rPr>
        <w:t>。</w:t>
      </w:r>
      <w:r>
        <w:rPr>
          <w:rFonts w:ascii="宋体" w:hAnsi="Times New Roman" w:eastAsia="宋体"/>
          <w:b w:val="false"/>
          <w:i w:val="false"/>
          <w:color w:val="000000"/>
          <w:sz w:val="22"/>
        </w:rPr>
        <w:t xml:space="preserve"> 用滑模变结构控制重构反电动势，配合线反电动势法换相（过零点直接对应换相时刻，省去传统方法30°电角度延时）。实测2200rpm目标转速下，调节时间从0.026s缩至0.015s；4N·m负载扰动下转速波动仅0.8%，动态调节时间2ms，较传统PI控制提升62.5%。</w:t>
      </w:r>
    </w:p>
    <w:bookmarkEnd w:id="8"/>
    <w:bookmarkStart w:name="u10d44cfc" w:id="9"/>
    <w:p>
      <w:pPr>
        <w:spacing w:after="50" w:line="360" w:lineRule="auto" w:beforeLines="100"/>
        <w:ind w:left="0"/>
        <w:jc w:val="left"/>
      </w:pPr>
      <w:r>
        <w:rPr>
          <w:rFonts w:ascii="宋体" w:hAnsi="Times New Roman" w:eastAsia="宋体"/>
          <w:b/>
          <w:i w:val="false"/>
          <w:color w:val="004347"/>
          <w:sz w:val="22"/>
        </w:rPr>
        <w:t>同步层——增量式PID交叉耦合控制</w:t>
      </w:r>
      <w:r>
        <w:rPr>
          <w:rFonts w:ascii="宋体" w:hAnsi="Times New Roman" w:eastAsia="宋体"/>
          <w:b/>
          <w:i w:val="false"/>
          <w:color w:val="000000"/>
          <w:sz w:val="22"/>
        </w:rPr>
        <w:t>。</w:t>
      </w:r>
      <w:r>
        <w:rPr>
          <w:rFonts w:ascii="宋体" w:hAnsi="Times New Roman" w:eastAsia="宋体"/>
          <w:b w:val="false"/>
          <w:i w:val="false"/>
          <w:color w:val="000000"/>
          <w:sz w:val="22"/>
        </w:rPr>
        <w:t xml:space="preserve"> 以主电机为动态基准，实时补偿从电机，双边同步偏差率压至0.15%—0.38%（无控制时负载工况最高达25.5%）；配合模糊控制优化后，人为制造最大位差后平均1.20秒恢复同步，电站月位差故障从39次降至1次。</w:t>
      </w:r>
    </w:p>
    <w:bookmarkEnd w:id="9"/>
    <w:bookmarkStart w:name="ud7f0613a" w:id="10"/>
    <w:p>
      <w:pPr>
        <w:spacing w:after="50" w:line="360" w:lineRule="auto" w:beforeLines="100"/>
        <w:ind w:left="0"/>
        <w:jc w:val="left"/>
      </w:pPr>
      <w:bookmarkStart w:name="u6b45d044" w:id="11"/>
      <w:r>
        <w:rPr>
          <w:rFonts w:eastAsia="宋体" w:ascii="宋体"/>
        </w:rPr>
        <w:drawing>
          <wp:inline distT="0" distB="0" distL="0" distR="0">
            <wp:extent cx="5842000" cy="438117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975600" cy="5981250"/>
                    </a:xfrm>
                    <a:prstGeom prst="rect">
                      <a:avLst/>
                    </a:prstGeom>
                  </pic:spPr>
                </pic:pic>
              </a:graphicData>
            </a:graphic>
          </wp:inline>
        </w:drawing>
      </w:r>
      <w:bookmarkEnd w:id="11"/>
    </w:p>
    <w:bookmarkEnd w:id="10"/>
    <w:bookmarkStart w:name="u20e806a3" w:id="12"/>
    <w:p>
      <w:pPr>
        <w:spacing w:after="50" w:line="360" w:lineRule="auto" w:beforeLines="100"/>
        <w:ind w:left="0"/>
        <w:jc w:val="left"/>
      </w:pPr>
      <w:r>
        <w:rPr>
          <w:rFonts w:ascii="宋体" w:hAnsi="Times New Roman" w:eastAsia="宋体"/>
          <w:b/>
          <w:i w:val="false"/>
          <w:color w:val="004347"/>
          <w:sz w:val="22"/>
        </w:rPr>
        <w:t>姿态层——多模态数据融合纠偏</w:t>
      </w:r>
      <w:r>
        <w:rPr>
          <w:rFonts w:ascii="宋体" w:hAnsi="Times New Roman" w:eastAsia="宋体"/>
          <w:b/>
          <w:i w:val="false"/>
          <w:color w:val="000000"/>
          <w:sz w:val="22"/>
        </w:rPr>
        <w:t>。</w:t>
      </w:r>
      <w:r>
        <w:rPr>
          <w:rFonts w:ascii="宋体" w:hAnsi="Times New Roman" w:eastAsia="宋体"/>
          <w:b w:val="false"/>
          <w:i w:val="false"/>
          <w:color w:val="000000"/>
          <w:sz w:val="22"/>
        </w:rPr>
        <w:t xml:space="preserve"> 单一角度传感器受支架耦合磁场干扰（磁力计偏航角波动可达16.2°），单一电流反演又会被桥架颠簸误导。分布式卡尔曼滤波+协方差交叉融合让"角度捕捉瞬时波动、电流反演力学失衡"互为佐证，偏航角偏差较单源方案降低92.8%，2—3秒内完成纠偏。</w:t>
      </w:r>
    </w:p>
    <w:bookmarkEnd w:id="12"/>
    <w:bookmarkStart w:name="u2b92ae72" w:id="13"/>
    <w:p>
      <w:pPr>
        <w:spacing w:after="50" w:line="360" w:lineRule="auto" w:beforeLines="100"/>
        <w:ind w:left="0"/>
        <w:jc w:val="left"/>
      </w:pPr>
      <w:r>
        <w:rPr>
          <w:rFonts w:ascii="宋体" w:hAnsi="Times New Roman" w:eastAsia="宋体"/>
          <w:b w:val="false"/>
          <w:i w:val="false"/>
          <w:color w:val="000000"/>
          <w:sz w:val="22"/>
        </w:rPr>
        <w:t>在此基础上，基于GRU电流波形预测+Haar小波变换的位置检测准确率达96%，运维平台随时知道每台机器人“在哪、正不正常”。</w:t>
      </w:r>
    </w:p>
    <w:bookmarkEnd w:id="13"/>
    <w:bookmarkStart w:name="uc1f8f960" w:id="14"/>
    <w:p>
      <w:pPr>
        <w:spacing w:after="50" w:line="360" w:lineRule="auto" w:beforeLines="100"/>
        <w:ind w:left="0"/>
        <w:jc w:val="left"/>
      </w:pPr>
      <w:bookmarkStart w:name="u50d72782" w:id="15"/>
      <w:r>
        <w:rPr>
          <w:rFonts w:eastAsia="宋体" w:ascii="宋体"/>
        </w:rPr>
        <w:drawing>
          <wp:inline distT="0" distB="0" distL="0" distR="0">
            <wp:extent cx="5841999" cy="137280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7559867" cy="4126365"/>
                    </a:xfrm>
                    <a:prstGeom prst="rect">
                      <a:avLst/>
                    </a:prstGeom>
                  </pic:spPr>
                </pic:pic>
              </a:graphicData>
            </a:graphic>
          </wp:inline>
        </w:drawing>
      </w:r>
      <w:bookmarkEnd w:id="15"/>
    </w:p>
    <w:bookmarkEnd w:id="14"/>
    <w:bookmarkStart w:name="u99be8c3c" w:id="16"/>
    <w:p>
      <w:pPr>
        <w:spacing w:after="50" w:line="360" w:lineRule="auto" w:beforeLines="100"/>
        <w:ind w:left="0"/>
        <w:jc w:val="left"/>
      </w:pPr>
      <w:r>
        <w:rPr>
          <w:rFonts w:ascii="宋体" w:hAnsi="Times New Roman" w:eastAsia="宋体"/>
          <w:b/>
          <w:i w:val="false"/>
          <w:color w:val="004347"/>
          <w:sz w:val="22"/>
        </w:rPr>
        <w:t>双光融合，终结热斑误报。</w:t>
      </w:r>
      <w:r>
        <w:rPr>
          <w:rFonts w:ascii="宋体" w:hAnsi="Times New Roman" w:eastAsia="宋体"/>
          <w:b w:val="false"/>
          <w:i w:val="false"/>
          <w:color w:val="000000"/>
          <w:sz w:val="22"/>
        </w:rPr>
        <w:t xml:space="preserve"> 单红外阈值法因玻璃镜面反射（晴天反射功率可达78W），误报率高达54.7%——运维人员很快会对告警脱敏。多光谱方案将红外温度场与可见光反射特征经单应性变换空间配准，Yolov8提取反光区域，双置信度加权判定，401次报警仅17次误报，</w:t>
      </w:r>
      <w:r>
        <w:rPr>
          <w:rFonts w:ascii="宋体" w:hAnsi="Times New Roman" w:eastAsia="宋体"/>
          <w:b/>
          <w:i w:val="false"/>
          <w:color w:val="004347"/>
          <w:sz w:val="22"/>
        </w:rPr>
        <w:t>误报率降至4.2%</w:t>
      </w:r>
      <w:r>
        <w:rPr>
          <w:rFonts w:ascii="宋体" w:hAnsi="Times New Roman" w:eastAsia="宋体"/>
          <w:b w:val="false"/>
          <w:i w:val="false"/>
          <w:color w:val="000000"/>
          <w:sz w:val="22"/>
        </w:rPr>
        <w:t>，正午强反射工况识别准确率最高98.8%。</w:t>
      </w:r>
    </w:p>
    <w:bookmarkEnd w:id="16"/>
    <w:bookmarkStart w:name="u48a99b43" w:id="17"/>
    <w:p>
      <w:pPr>
        <w:spacing w:after="50" w:line="360" w:lineRule="auto" w:beforeLines="100"/>
        <w:ind w:left="0"/>
        <w:jc w:val="left"/>
      </w:pPr>
      <w:bookmarkStart w:name="u11c6d9a7" w:id="18"/>
      <w:r>
        <w:rPr>
          <w:rFonts w:eastAsia="宋体" w:ascii="宋体"/>
        </w:rPr>
        <w:drawing>
          <wp:inline distT="0" distB="0" distL="0" distR="0">
            <wp:extent cx="5842000" cy="329328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231466" cy="3512839"/>
                    </a:xfrm>
                    <a:prstGeom prst="rect">
                      <a:avLst/>
                    </a:prstGeom>
                  </pic:spPr>
                </pic:pic>
              </a:graphicData>
            </a:graphic>
          </wp:inline>
        </w:drawing>
      </w:r>
      <w:bookmarkEnd w:id="18"/>
    </w:p>
    <w:bookmarkEnd w:id="17"/>
    <w:bookmarkStart w:name="u6ea5c1ba" w:id="19"/>
    <w:p>
      <w:pPr>
        <w:spacing w:after="50" w:line="360" w:lineRule="auto" w:beforeLines="100"/>
        <w:ind w:left="0"/>
        <w:jc w:val="left"/>
      </w:pPr>
      <w:r>
        <w:rPr>
          <w:rFonts w:ascii="宋体" w:hAnsi="Times New Roman" w:eastAsia="宋体"/>
          <w:b/>
          <w:i w:val="false"/>
          <w:color w:val="004347"/>
          <w:sz w:val="22"/>
        </w:rPr>
        <w:t>白昼PL在线检测，把隐裂普查搬出暗室</w:t>
      </w:r>
      <w:r>
        <w:rPr>
          <w:rFonts w:ascii="宋体" w:hAnsi="Times New Roman" w:eastAsia="宋体"/>
          <w:b/>
          <w:i w:val="false"/>
          <w:color w:val="000000"/>
          <w:sz w:val="22"/>
        </w:rPr>
        <w:t>。</w:t>
      </w:r>
      <w:r>
        <w:rPr>
          <w:rFonts w:ascii="宋体" w:hAnsi="Times New Roman" w:eastAsia="宋体"/>
          <w:b w:val="false"/>
          <w:i w:val="false"/>
          <w:color w:val="000000"/>
          <w:sz w:val="22"/>
        </w:rPr>
        <w:t xml:space="preserve"> PL（光致发光）检测传统上必须在实验室暗室或夜间停机进行。通过窄带滤光+锁相放大提取微弱荧光信号，配合可见光（表面缺陷）+红外（热斑异常）构成三级递进检测，实现在运组件的白昼在线隐裂普查。</w:t>
      </w:r>
    </w:p>
    <w:bookmarkEnd w:id="19"/>
    <w:bookmarkStart w:name="ubb9031f0" w:id="20"/>
    <w:p>
      <w:pPr>
        <w:spacing w:after="50" w:line="360" w:lineRule="auto" w:beforeLines="100"/>
        <w:ind w:left="0"/>
        <w:jc w:val="left"/>
      </w:pPr>
      <w:r>
        <w:rPr>
          <w:rFonts w:ascii="宋体" w:hAnsi="Times New Roman" w:eastAsia="宋体"/>
          <w:b/>
          <w:i w:val="false"/>
          <w:color w:val="004347"/>
          <w:sz w:val="22"/>
        </w:rPr>
        <w:t>柔性支架上的安全底线</w:t>
      </w:r>
      <w:r>
        <w:rPr>
          <w:rFonts w:ascii="宋体" w:hAnsi="Times New Roman" w:eastAsia="宋体"/>
          <w:b/>
          <w:i w:val="false"/>
          <w:color w:val="000000"/>
          <w:sz w:val="22"/>
        </w:rPr>
        <w:t>。</w:t>
      </w:r>
      <w:r>
        <w:rPr>
          <w:rFonts w:ascii="宋体" w:hAnsi="Times New Roman" w:eastAsia="宋体"/>
          <w:b w:val="false"/>
          <w:i w:val="false"/>
          <w:color w:val="000000"/>
          <w:sz w:val="22"/>
        </w:rPr>
        <w:t xml:space="preserve"> 针对柔性支架0.1—2Hz持续晃动与组件缺失风险，Yolov8-seg实例分割经INT8量化部署于边缘NPU（15FPS），以ROI重合率80%为阈值判断前方路径完整性，全链路417ms响应，0.25m/s速度下制动距离仅2.92cm——约5cm内紧急制动，安全余量94.9%。该方案已在国能集团柔性支架电站部署22台。</w:t>
      </w:r>
    </w:p>
    <w:bookmarkEnd w:id="20"/>
    <w:bookmarkStart w:name="u5ad94884" w:id="21"/>
    <w:p>
      <w:pPr>
        <w:spacing w:after="50" w:line="360" w:lineRule="auto" w:beforeLines="100"/>
        <w:ind w:left="0"/>
        <w:jc w:val="left"/>
      </w:pPr>
      <w:bookmarkStart w:name="u3432c526" w:id="22"/>
      <w:r>
        <w:rPr>
          <w:rFonts w:eastAsia="宋体" w:ascii="宋体"/>
        </w:rPr>
        <w:drawing>
          <wp:inline distT="0" distB="0" distL="0" distR="0">
            <wp:extent cx="5842000" cy="134358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7542933" cy="4034660"/>
                    </a:xfrm>
                    <a:prstGeom prst="rect">
                      <a:avLst/>
                    </a:prstGeom>
                  </pic:spPr>
                </pic:pic>
              </a:graphicData>
            </a:graphic>
          </wp:inline>
        </w:drawing>
      </w:r>
      <w:bookmarkEnd w:id="22"/>
    </w:p>
    <w:bookmarkEnd w:id="21"/>
    <w:bookmarkStart w:name="u556cf7c8" w:id="23"/>
    <w:p>
      <w:pPr>
        <w:spacing w:after="50" w:line="360" w:lineRule="auto" w:beforeLines="100"/>
        <w:ind w:left="0"/>
        <w:jc w:val="left"/>
      </w:pPr>
      <w:r>
        <w:rPr>
          <w:rFonts w:ascii="宋体" w:hAnsi="Times New Roman" w:eastAsia="宋体"/>
          <w:b w:val="false"/>
          <w:i w:val="false"/>
          <w:color w:val="000000"/>
          <w:sz w:val="22"/>
        </w:rPr>
        <w:t>单个电站数千台机器人、百万级组件，全部原始图像上云既贵又慢。两级AI架构的解法是</w:t>
      </w:r>
      <w:r>
        <w:rPr>
          <w:rFonts w:ascii="宋体" w:hAnsi="Times New Roman" w:eastAsia="宋体"/>
          <w:b/>
          <w:i w:val="false"/>
          <w:color w:val="004347"/>
          <w:sz w:val="22"/>
        </w:rPr>
        <w:t>数据分流+模型回灌</w:t>
      </w:r>
      <w:r>
        <w:rPr>
          <w:rFonts w:ascii="宋体" w:hAnsi="Times New Roman" w:eastAsia="宋体"/>
          <w:b w:val="false"/>
          <w:i w:val="false"/>
          <w:color w:val="000000"/>
          <w:sz w:val="22"/>
        </w:rPr>
        <w:t>：</w:t>
      </w:r>
    </w:p>
    <w:bookmarkEnd w:id="23"/>
    <w:bookmarkStart w:name="uf9bcc8cd" w:id="24"/>
    <w:p>
      <w:pPr>
        <w:numPr>
          <w:ilvl w:val="0"/>
          <w:numId w:val="1"/>
        </w:numPr>
        <w:spacing w:after="50" w:line="360" w:lineRule="auto" w:beforeLines="100"/>
        <w:ind w:left="360"/>
        <w:jc w:val="left"/>
      </w:pPr>
      <w:r>
        <w:rPr>
          <w:rFonts w:ascii="宋体" w:hAnsi="Times New Roman" w:eastAsia="宋体"/>
          <w:b/>
          <w:i w:val="false"/>
          <w:color w:val="004347"/>
          <w:sz w:val="22"/>
        </w:rPr>
        <w:t>边缘端</w:t>
      </w:r>
      <w:r>
        <w:rPr>
          <w:rFonts w:ascii="宋体" w:hAnsi="Times New Roman" w:eastAsia="宋体"/>
          <w:b w:val="false"/>
          <w:i w:val="false"/>
          <w:color w:val="004347"/>
          <w:sz w:val="22"/>
        </w:rPr>
        <w:t>：</w:t>
      </w:r>
      <w:r>
        <w:rPr>
          <w:rFonts w:ascii="宋体" w:hAnsi="Times New Roman" w:eastAsia="宋体"/>
          <w:b w:val="false"/>
          <w:i w:val="false"/>
          <w:color w:val="000000"/>
          <w:sz w:val="22"/>
        </w:rPr>
        <w:t>自研边缘网关芯片运行轻量化模型，热斑、隐裂、表面缺陷就地推理，低时延、断网可用；</w:t>
      </w:r>
    </w:p>
    <w:bookmarkEnd w:id="24"/>
    <w:bookmarkStart w:name="u26812e6d" w:id="25"/>
    <w:p>
      <w:pPr>
        <w:numPr>
          <w:ilvl w:val="0"/>
          <w:numId w:val="2"/>
        </w:numPr>
        <w:spacing w:after="50" w:line="360" w:lineRule="auto" w:beforeLines="100"/>
        <w:ind w:left="360"/>
        <w:jc w:val="left"/>
      </w:pPr>
      <w:r>
        <w:rPr>
          <w:rFonts w:ascii="宋体" w:hAnsi="Times New Roman" w:eastAsia="宋体"/>
          <w:b/>
          <w:i w:val="false"/>
          <w:color w:val="004347"/>
          <w:sz w:val="22"/>
        </w:rPr>
        <w:t>云端</w:t>
      </w:r>
      <w:r>
        <w:rPr>
          <w:rFonts w:ascii="宋体" w:hAnsi="Times New Roman" w:eastAsia="宋体"/>
          <w:b w:val="false"/>
          <w:i w:val="false"/>
          <w:color w:val="004347"/>
          <w:sz w:val="22"/>
        </w:rPr>
        <w:t>：</w:t>
      </w:r>
      <w:r>
        <w:rPr>
          <w:rFonts w:ascii="宋体" w:hAnsi="Times New Roman" w:eastAsia="宋体"/>
          <w:b w:val="false"/>
          <w:i w:val="false"/>
          <w:color w:val="000000"/>
          <w:sz w:val="22"/>
        </w:rPr>
        <w:t>全精度模型完成复杂诊断、寿命预测与跨站增量学习；</w:t>
      </w:r>
    </w:p>
    <w:bookmarkEnd w:id="25"/>
    <w:bookmarkStart w:name="ua9f0f60e" w:id="26"/>
    <w:p>
      <w:pPr>
        <w:numPr>
          <w:ilvl w:val="0"/>
          <w:numId w:val="3"/>
        </w:numPr>
        <w:spacing w:after="50" w:line="360" w:lineRule="auto" w:beforeLines="100"/>
        <w:ind w:left="360"/>
        <w:jc w:val="left"/>
      </w:pPr>
      <w:r>
        <w:rPr>
          <w:rFonts w:ascii="宋体" w:hAnsi="Times New Roman" w:eastAsia="宋体"/>
          <w:b/>
          <w:i w:val="false"/>
          <w:color w:val="004347"/>
          <w:sz w:val="22"/>
        </w:rPr>
        <w:t>闭环</w:t>
      </w:r>
      <w:r>
        <w:rPr>
          <w:rFonts w:ascii="宋体" w:hAnsi="Times New Roman" w:eastAsia="宋体"/>
          <w:b w:val="false"/>
          <w:i w:val="false"/>
          <w:color w:val="004347"/>
          <w:sz w:val="22"/>
        </w:rPr>
        <w:t>：</w:t>
      </w:r>
      <w:r>
        <w:rPr>
          <w:rFonts w:ascii="宋体" w:hAnsi="Times New Roman" w:eastAsia="宋体"/>
          <w:b w:val="false"/>
          <w:i w:val="false"/>
          <w:color w:val="000000"/>
          <w:sz w:val="22"/>
        </w:rPr>
        <w:t>仅关键数据与低置信度样本按需上云，轻量化模型更新包持续回灌边缘。</w:t>
      </w:r>
    </w:p>
    <w:bookmarkEnd w:id="26"/>
    <w:bookmarkStart w:name="u3dfc28cc" w:id="27"/>
    <w:p>
      <w:pPr>
        <w:spacing w:after="50" w:line="360" w:lineRule="auto" w:beforeLines="100"/>
        <w:ind w:left="0"/>
        <w:jc w:val="left"/>
      </w:pPr>
      <w:bookmarkStart w:name="uf268a3af" w:id="28"/>
      <w:r>
        <w:rPr>
          <w:rFonts w:eastAsia="宋体" w:ascii="宋体"/>
        </w:rPr>
        <w:drawing>
          <wp:inline distT="0" distB="0" distL="0" distR="0">
            <wp:extent cx="5842000" cy="389651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5230666" cy="16828410"/>
                    </a:xfrm>
                    <a:prstGeom prst="rect">
                      <a:avLst/>
                    </a:prstGeom>
                  </pic:spPr>
                </pic:pic>
              </a:graphicData>
            </a:graphic>
          </wp:inline>
        </w:drawing>
      </w:r>
      <w:bookmarkEnd w:id="28"/>
    </w:p>
    <w:bookmarkEnd w:id="27"/>
    <w:bookmarkStart w:name="ud61f43a2" w:id="29"/>
    <w:p>
      <w:pPr>
        <w:spacing w:after="50" w:line="360" w:lineRule="auto" w:beforeLines="100"/>
        <w:ind w:left="0"/>
        <w:jc w:val="left"/>
      </w:pPr>
      <w:r>
        <w:rPr>
          <w:rFonts w:ascii="宋体" w:hAnsi="Times New Roman" w:eastAsia="宋体"/>
          <w:b/>
          <w:i w:val="false"/>
          <w:color w:val="004347"/>
          <w:sz w:val="22"/>
        </w:rPr>
        <w:t>回传带宽节省≥95%</w:t>
      </w:r>
      <w:r>
        <w:rPr>
          <w:rFonts w:ascii="宋体" w:hAnsi="Times New Roman" w:eastAsia="宋体"/>
          <w:b w:val="false"/>
          <w:i w:val="false"/>
          <w:color w:val="000000"/>
          <w:sz w:val="22"/>
        </w:rPr>
        <w:t>——这使大规模部署在通信成本上真正可行。</w:t>
      </w:r>
    </w:p>
    <w:bookmarkEnd w:id="29"/>
    <w:bookmarkStart w:name="u8861809a" w:id="30"/>
    <w:p>
      <w:pPr>
        <w:spacing w:after="50" w:line="360" w:lineRule="auto" w:beforeLines="100"/>
        <w:ind w:left="0"/>
        <w:jc w:val="left"/>
      </w:pPr>
      <w:bookmarkStart w:name="uaa3f6a6e" w:id="31"/>
      <w:r>
        <w:rPr>
          <w:rFonts w:eastAsia="宋体" w:ascii="宋体"/>
        </w:rPr>
        <w:drawing>
          <wp:inline distT="0" distB="0" distL="0" distR="0">
            <wp:extent cx="5842000" cy="1372859"/>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7238133" cy="4050930"/>
                    </a:xfrm>
                    <a:prstGeom prst="rect">
                      <a:avLst/>
                    </a:prstGeom>
                  </pic:spPr>
                </pic:pic>
              </a:graphicData>
            </a:graphic>
          </wp:inline>
        </w:drawing>
      </w:r>
      <w:bookmarkEnd w:id="31"/>
    </w:p>
    <w:bookmarkEnd w:id="30"/>
    <w:bookmarkStart w:name="ud231acea" w:id="32"/>
    <w:p>
      <w:pPr>
        <w:spacing w:after="50" w:line="360" w:lineRule="auto" w:beforeLines="100"/>
        <w:ind w:left="0"/>
        <w:jc w:val="left"/>
      </w:pPr>
      <w:bookmarkStart w:name="ua7018c0a" w:id="33"/>
      <w:r>
        <w:rPr>
          <w:rFonts w:eastAsia="宋体" w:ascii="宋体"/>
        </w:rPr>
        <w:drawing>
          <wp:inline distT="0" distB="0" distL="0" distR="0">
            <wp:extent cx="5842000" cy="438117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975600" cy="5981250"/>
                    </a:xfrm>
                    <a:prstGeom prst="rect">
                      <a:avLst/>
                    </a:prstGeom>
                  </pic:spPr>
                </pic:pic>
              </a:graphicData>
            </a:graphic>
          </wp:inline>
        </w:drawing>
      </w:r>
      <w:bookmarkEnd w:id="33"/>
    </w:p>
    <w:bookmarkEnd w:id="32"/>
    <w:bookmarkStart w:name="u4e7a58c3" w:id="34"/>
    <w:p>
      <w:pPr>
        <w:spacing w:after="50" w:line="360" w:lineRule="auto" w:beforeLines="100"/>
        <w:ind w:left="0"/>
        <w:jc w:val="left"/>
      </w:pPr>
      <w:r>
        <w:rPr>
          <w:rFonts w:ascii="宋体" w:hAnsi="Times New Roman" w:eastAsia="宋体"/>
          <w:b w:val="false"/>
          <w:i w:val="false"/>
          <w:color w:val="000000"/>
          <w:sz w:val="22"/>
        </w:rPr>
        <w:t>检测能力的尽头是决策。平台以</w:t>
      </w:r>
      <w:r>
        <w:rPr>
          <w:rFonts w:ascii="宋体" w:hAnsi="Times New Roman" w:eastAsia="宋体"/>
          <w:b/>
          <w:i w:val="false"/>
          <w:color w:val="004347"/>
          <w:sz w:val="22"/>
        </w:rPr>
        <w:t>共享记忆池+工作流引擎</w:t>
      </w:r>
      <w:r>
        <w:rPr>
          <w:rFonts w:ascii="宋体" w:hAnsi="Times New Roman" w:eastAsia="宋体"/>
          <w:b w:val="false"/>
          <w:i w:val="false"/>
          <w:color w:val="000000"/>
          <w:sz w:val="22"/>
        </w:rPr>
        <w:t>为枢纽，四个专业Agent协同：</w:t>
      </w:r>
    </w:p>
    <w:bookmarkEnd w:id="34"/>
    <w:bookmarkStart w:name="u7c6a2ddb" w:id="35"/>
    <w:p>
      <w:pPr>
        <w:numPr>
          <w:ilvl w:val="0"/>
          <w:numId w:val="4"/>
        </w:numPr>
        <w:spacing w:after="50" w:line="360" w:lineRule="auto" w:beforeLines="100"/>
        <w:ind w:left="360"/>
        <w:jc w:val="left"/>
      </w:pPr>
      <w:r>
        <w:rPr>
          <w:rFonts w:ascii="宋体" w:hAnsi="Times New Roman" w:eastAsia="宋体"/>
          <w:b/>
          <w:i w:val="false"/>
          <w:color w:val="004347"/>
          <w:sz w:val="22"/>
        </w:rPr>
        <w:t>组件健康评估Agent</w:t>
      </w:r>
      <w:r>
        <w:rPr>
          <w:rFonts w:ascii="宋体" w:hAnsi="Times New Roman" w:eastAsia="宋体"/>
          <w:b w:val="false"/>
          <w:i w:val="false"/>
          <w:color w:val="004347"/>
          <w:sz w:val="22"/>
        </w:rPr>
        <w:t>：</w:t>
      </w:r>
      <w:r>
        <w:rPr>
          <w:rFonts w:ascii="宋体" w:hAnsi="Times New Roman" w:eastAsia="宋体"/>
          <w:b w:val="false"/>
          <w:i w:val="false"/>
          <w:color w:val="000000"/>
          <w:sz w:val="22"/>
        </w:rPr>
        <w:t>融合多频次巡检数据，输出0—100组件健康评分；</w:t>
      </w:r>
    </w:p>
    <w:bookmarkEnd w:id="35"/>
    <w:bookmarkStart w:name="u7ba94eba" w:id="36"/>
    <w:p>
      <w:pPr>
        <w:numPr>
          <w:ilvl w:val="0"/>
          <w:numId w:val="5"/>
        </w:numPr>
        <w:spacing w:after="50" w:line="360" w:lineRule="auto" w:beforeLines="100"/>
        <w:ind w:left="360"/>
        <w:jc w:val="left"/>
      </w:pPr>
      <w:r>
        <w:rPr>
          <w:rFonts w:ascii="宋体" w:hAnsi="Times New Roman" w:eastAsia="宋体"/>
          <w:b/>
          <w:i w:val="false"/>
          <w:color w:val="004347"/>
          <w:sz w:val="22"/>
        </w:rPr>
        <w:t>故障诊断Agent</w:t>
      </w:r>
      <w:r>
        <w:rPr>
          <w:rFonts w:ascii="宋体" w:hAnsi="Times New Roman" w:eastAsia="宋体"/>
          <w:b w:val="false"/>
          <w:i w:val="false"/>
          <w:color w:val="004347"/>
          <w:sz w:val="22"/>
        </w:rPr>
        <w:t>：</w:t>
      </w:r>
      <w:r>
        <w:rPr>
          <w:rFonts w:ascii="宋体" w:hAnsi="Times New Roman" w:eastAsia="宋体"/>
          <w:b w:val="false"/>
          <w:i w:val="false"/>
          <w:color w:val="000000"/>
          <w:sz w:val="22"/>
        </w:rPr>
        <w:t>双流CNN+光伏故障知识图谱，识别缺陷根因；</w:t>
      </w:r>
    </w:p>
    <w:bookmarkEnd w:id="36"/>
    <w:bookmarkStart w:name="u60236693" w:id="37"/>
    <w:p>
      <w:pPr>
        <w:numPr>
          <w:ilvl w:val="0"/>
          <w:numId w:val="6"/>
        </w:numPr>
        <w:spacing w:after="50" w:line="360" w:lineRule="auto" w:beforeLines="100"/>
        <w:ind w:left="360"/>
        <w:jc w:val="left"/>
      </w:pPr>
      <w:r>
        <w:rPr>
          <w:rFonts w:ascii="宋体" w:hAnsi="Times New Roman" w:eastAsia="宋体"/>
          <w:b/>
          <w:i w:val="false"/>
          <w:color w:val="004347"/>
          <w:sz w:val="22"/>
        </w:rPr>
        <w:t>预测性维护Agent</w:t>
      </w:r>
      <w:r>
        <w:rPr>
          <w:rFonts w:ascii="宋体" w:hAnsi="Times New Roman" w:eastAsia="宋体"/>
          <w:b w:val="false"/>
          <w:i w:val="false"/>
          <w:color w:val="004347"/>
          <w:sz w:val="22"/>
        </w:rPr>
        <w:t>：</w:t>
      </w:r>
      <w:r>
        <w:rPr>
          <w:rFonts w:ascii="宋体" w:hAnsi="Times New Roman" w:eastAsia="宋体"/>
          <w:b w:val="false"/>
          <w:i w:val="false"/>
          <w:color w:val="000000"/>
          <w:sz w:val="22"/>
        </w:rPr>
        <w:t>基于历史数据预测衰减趋势与维护窗口；</w:t>
      </w:r>
    </w:p>
    <w:bookmarkEnd w:id="37"/>
    <w:bookmarkStart w:name="u85b3f52b" w:id="38"/>
    <w:p>
      <w:pPr>
        <w:numPr>
          <w:ilvl w:val="0"/>
          <w:numId w:val="7"/>
        </w:numPr>
        <w:spacing w:after="50" w:line="360" w:lineRule="auto" w:beforeLines="100"/>
        <w:ind w:left="360"/>
        <w:jc w:val="left"/>
      </w:pPr>
      <w:r>
        <w:rPr>
          <w:rFonts w:ascii="宋体" w:hAnsi="Times New Roman" w:eastAsia="宋体"/>
          <w:b/>
          <w:i w:val="false"/>
          <w:color w:val="004347"/>
          <w:sz w:val="22"/>
        </w:rPr>
        <w:t>运维排程Agent</w:t>
      </w:r>
      <w:r>
        <w:rPr>
          <w:rFonts w:ascii="宋体" w:hAnsi="Times New Roman" w:eastAsia="宋体"/>
          <w:b w:val="false"/>
          <w:i w:val="false"/>
          <w:color w:val="004347"/>
          <w:sz w:val="22"/>
        </w:rPr>
        <w:t>：</w:t>
      </w:r>
      <w:r>
        <w:rPr>
          <w:rFonts w:ascii="宋体" w:hAnsi="Times New Roman" w:eastAsia="宋体"/>
          <w:b w:val="false"/>
          <w:i w:val="false"/>
          <w:color w:val="000000"/>
          <w:sz w:val="22"/>
        </w:rPr>
        <w:t>综合积灰程度、天气与健康评分动态优化清扫排程。</w:t>
      </w:r>
    </w:p>
    <w:bookmarkEnd w:id="38"/>
    <w:bookmarkStart w:name="u638e59bc" w:id="39"/>
    <w:p>
      <w:pPr>
        <w:spacing w:after="50" w:line="360" w:lineRule="auto" w:beforeLines="100"/>
        <w:ind w:left="0"/>
        <w:jc w:val="left"/>
      </w:pPr>
      <w:bookmarkStart w:name="u1313676e" w:id="40"/>
      <w:r>
        <w:rPr>
          <w:rFonts w:eastAsia="宋体" w:ascii="宋体"/>
        </w:rPr>
        <w:drawing>
          <wp:inline distT="0" distB="0" distL="0" distR="0">
            <wp:extent cx="5842000" cy="389651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5230666" cy="16828410"/>
                    </a:xfrm>
                    <a:prstGeom prst="rect">
                      <a:avLst/>
                    </a:prstGeom>
                  </pic:spPr>
                </pic:pic>
              </a:graphicData>
            </a:graphic>
          </wp:inline>
        </w:drawing>
      </w:r>
      <w:bookmarkEnd w:id="40"/>
    </w:p>
    <w:bookmarkEnd w:id="39"/>
    <w:bookmarkStart w:name="u3d2ea60f" w:id="41"/>
    <w:p>
      <w:pPr>
        <w:spacing w:after="50" w:line="360" w:lineRule="auto" w:beforeLines="100"/>
        <w:ind w:left="0"/>
        <w:jc w:val="left"/>
      </w:pPr>
      <w:r>
        <w:rPr>
          <w:rFonts w:ascii="宋体" w:hAnsi="Times New Roman" w:eastAsia="宋体"/>
          <w:b w:val="false"/>
          <w:i w:val="false"/>
          <w:color w:val="000000"/>
          <w:sz w:val="22"/>
        </w:rPr>
        <w:t>输出端是组件级健康地图：场站→方阵→组件三级穿透，绿黄橙红四色分级，每块组件拥有可追溯的健康档案；橙色/红色组件自动生成工单并规划最优维修路径，完成“监测→预警→诊断→决策→派单”五环节自动闭环。</w:t>
      </w:r>
    </w:p>
    <w:bookmarkEnd w:id="41"/>
    <w:bookmarkStart w:name="u3b3000f5" w:id="42"/>
    <w:p>
      <w:pPr>
        <w:spacing w:after="50" w:line="360" w:lineRule="auto" w:beforeLines="100"/>
        <w:ind w:left="0"/>
        <w:jc w:val="left"/>
      </w:pPr>
      <w:bookmarkStart w:name="u93e8a0b4" w:id="43"/>
      <w:r>
        <w:rPr>
          <w:rFonts w:eastAsia="宋体" w:ascii="宋体"/>
        </w:rPr>
        <w:drawing>
          <wp:inline distT="0" distB="0" distL="0" distR="0">
            <wp:extent cx="5842000" cy="130275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7492133" cy="3900716"/>
                    </a:xfrm>
                    <a:prstGeom prst="rect">
                      <a:avLst/>
                    </a:prstGeom>
                  </pic:spPr>
                </pic:pic>
              </a:graphicData>
            </a:graphic>
          </wp:inline>
        </w:drawing>
      </w:r>
      <w:bookmarkEnd w:id="43"/>
    </w:p>
    <w:bookmarkEnd w:id="42"/>
    <w:bookmarkStart w:name="u171983e1" w:id="44"/>
    <w:p>
      <w:pPr>
        <w:spacing w:after="50" w:line="360" w:lineRule="auto" w:beforeLines="100"/>
        <w:ind w:left="0"/>
        <w:jc w:val="left"/>
      </w:pPr>
      <w:r>
        <w:rPr>
          <w:rFonts w:ascii="宋体" w:hAnsi="Times New Roman" w:eastAsia="宋体"/>
          <w:b w:val="false"/>
          <w:i w:val="false"/>
          <w:color w:val="000000"/>
          <w:sz w:val="22"/>
        </w:rPr>
        <w:t>多电站规模化应用验证的核心账目：</w:t>
      </w:r>
      <w:r>
        <w:rPr>
          <w:rFonts w:ascii="宋体" w:hAnsi="Times New Roman" w:eastAsia="宋体"/>
          <w:b/>
          <w:i w:val="false"/>
          <w:color w:val="004347"/>
          <w:sz w:val="22"/>
        </w:rPr>
        <w:t>运维成本降低30%—50%，综合发电量提升5%—15%，100MW电站年化增收节支数百万元，ROI小于2年。</w:t>
      </w:r>
    </w:p>
    <w:bookmarkEnd w:id="44"/>
    <w:bookmarkStart w:name="u920e4bca" w:id="45"/>
    <w:p>
      <w:pPr>
        <w:spacing w:after="50" w:line="360" w:lineRule="auto" w:beforeLines="100"/>
        <w:ind w:left="0"/>
        <w:jc w:val="left"/>
      </w:pPr>
      <w:r>
        <w:rPr>
          <w:rFonts w:ascii="宋体" w:hAnsi="Times New Roman" w:eastAsia="宋体"/>
          <w:b w:val="false"/>
          <w:i w:val="false"/>
          <w:color w:val="000000"/>
          <w:sz w:val="22"/>
        </w:rPr>
        <w:t>技术可信度同样有账可查：起草国家标准GB/T 44264-2024《光伏组件清洁机器人通用技术条件》；“基于多点驱动的超长光伏智能清洁机器人”获2022年度浙江省制造业首台（套）；27项知识产权含多项发明专利；解决方案通过华为鲲鹏Native认证；与国能、国信、中广核等央企深度合作，部署100+电站。</w:t>
      </w:r>
    </w:p>
    <w:bookmarkEnd w:id="45"/>
    <w:bookmarkStart w:name="u7d41e258" w:id="46"/>
    <w:p>
      <w:pPr>
        <w:spacing w:after="50" w:line="360" w:lineRule="auto" w:beforeLines="100"/>
        <w:ind w:left="0"/>
        <w:jc w:val="left"/>
      </w:pPr>
      <w:bookmarkStart w:name="u9db338cc" w:id="47"/>
      <w:r>
        <w:rPr>
          <w:rFonts w:eastAsia="宋体" w:ascii="宋体"/>
        </w:rPr>
        <w:drawing>
          <wp:inline distT="0" distB="0" distL="0" distR="0">
            <wp:extent cx="5842000" cy="438117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975600" cy="5981250"/>
                    </a:xfrm>
                    <a:prstGeom prst="rect">
                      <a:avLst/>
                    </a:prstGeom>
                  </pic:spPr>
                </pic:pic>
              </a:graphicData>
            </a:graphic>
          </wp:inline>
        </w:drawing>
      </w:r>
      <w:bookmarkEnd w:id="47"/>
    </w:p>
    <w:bookmarkEnd w:id="46"/>
    <w:bookmarkStart w:name="ua226922e" w:id="48"/>
    <w:p>
      <w:pPr>
        <w:spacing w:after="50" w:line="360" w:lineRule="auto" w:beforeLines="100"/>
        <w:ind w:left="0"/>
        <w:jc w:val="left"/>
      </w:pPr>
      <w:r>
        <w:rPr>
          <w:rFonts w:ascii="宋体" w:hAnsi="Times New Roman" w:eastAsia="宋体"/>
          <w:b w:val="false"/>
          <w:i w:val="false"/>
          <w:color w:val="000000"/>
          <w:sz w:val="22"/>
        </w:rPr>
        <w:t>从滑模控制到多Agent协同，这套技术栈回答了一个根本问题：当电站大到人力不可及，谁来守护每一度绿电？答案是一个永不休息的AI运维团队——感知在边缘，知识在云端，决策在Agent，执行在机器人。</w:t>
      </w:r>
    </w:p>
    <w:bookmarkEnd w:id="48"/>
    <w:bookmarkStart w:name="u081ac9f6" w:id="49"/>
    <w:p>
      <w:pPr>
        <w:spacing w:after="50" w:line="360" w:lineRule="auto" w:beforeLines="100"/>
        <w:ind w:left="0"/>
        <w:jc w:val="left"/>
      </w:pPr>
      <w:bookmarkStart w:name="HF6a8" w:id="50"/>
      <w:r>
        <w:rPr>
          <w:rFonts w:eastAsia="宋体" w:ascii="宋体"/>
        </w:rPr>
        <w:drawing>
          <wp:inline distT="0" distB="0" distL="0" distR="0">
            <wp:extent cx="5842000" cy="161816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789334" cy="2157553"/>
                    </a:xfrm>
                    <a:prstGeom prst="rect">
                      <a:avLst/>
                    </a:prstGeom>
                  </pic:spPr>
                </pic:pic>
              </a:graphicData>
            </a:graphic>
          </wp:inline>
        </w:drawing>
      </w:r>
      <w:bookmarkEnd w:id="50"/>
    </w:p>
    <w:bookmarkEnd w:id="49"/>
    <w:bookmarkStart w:name="u8d2b3d07" w:id="51"/>
    <w:p>
      <w:pPr>
        <w:spacing w:after="50" w:line="360" w:lineRule="auto" w:beforeLines="100"/>
        <w:ind w:left="0"/>
        <w:jc w:val="left"/>
      </w:pPr>
      <w:bookmarkStart w:name="ue00a6830" w:id="52"/>
      <w:r>
        <w:rPr>
          <w:rFonts w:eastAsia="宋体" w:ascii="宋体"/>
        </w:rPr>
        <w:drawing>
          <wp:inline distT="0" distB="0" distL="0" distR="0">
            <wp:extent cx="5842000" cy="800938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0574000" cy="28206954"/>
                    </a:xfrm>
                    <a:prstGeom prst="rect">
                      <a:avLst/>
                    </a:prstGeom>
                  </pic:spPr>
                </pic:pic>
              </a:graphicData>
            </a:graphic>
          </wp:inline>
        </w:drawing>
      </w:r>
      <w:bookmarkEnd w:id="52"/>
    </w:p>
    <w:bookmarkEnd w:id="51"/>
    <w:bookmarkStart w:name="ubd68c99d" w:id="53"/>
    <w:p>
      <w:pPr>
        <w:spacing w:after="50" w:line="360" w:lineRule="auto" w:beforeLines="100"/>
        <w:ind w:left="0"/>
        <w:jc w:val="left"/>
      </w:pPr>
      <w:bookmarkStart w:name="pdHGx" w:id="54"/>
      <w:r>
        <w:rPr>
          <w:rFonts w:eastAsia="宋体" w:ascii="宋体"/>
        </w:rPr>
        <w:drawing>
          <wp:inline distT="0" distB="0" distL="0" distR="0">
            <wp:extent cx="5841999" cy="47903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9872134" cy="809504"/>
                    </a:xfrm>
                    <a:prstGeom prst="rect">
                      <a:avLst/>
                    </a:prstGeom>
                  </pic:spPr>
                </pic:pic>
              </a:graphicData>
            </a:graphic>
          </wp:inline>
        </w:drawing>
      </w:r>
      <w:bookmarkEnd w:id="54"/>
    </w:p>
    <w:bookmarkEnd w:id="53"/>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decimal"/>
      <w:lvlText w:val="%1."/>
      <w:lvlJc w:val="left"/>
      <w:pPr>
        <w:ind w:left="960" w:hanging="360"/>
      </w:pPr>
    </w:lvl>
  </w:abstractNum>
  <w:abstractNum w:abstractNumId="5">
    <w:multiLevelType w:val="multilevel"/>
    <w:lvl w:ilvl="0">
      <w:start w:val="2"/>
      <w:numFmt w:val="decimal"/>
      <w:lvlText w:val="%1."/>
      <w:lvlJc w:val="left"/>
      <w:pPr>
        <w:ind w:left="960" w:hanging="360"/>
      </w:pPr>
    </w:lvl>
  </w:abstractNum>
  <w:abstractNum w:abstractNumId="6">
    <w:multiLevelType w:val="multilevel"/>
    <w:lvl w:ilvl="0">
      <w:start w:val="3"/>
      <w:numFmt w:val="decimal"/>
      <w:lvlText w:val="%1."/>
      <w:lvlJc w:val="left"/>
      <w:pPr>
        <w:ind w:left="960" w:hanging="360"/>
      </w:pPr>
    </w:lvl>
  </w:abstractNum>
  <w:abstractNum w:abstractNumId="7">
    <w:multiLevelType w:val="multilevel"/>
    <w:lvl w:ilvl="0">
      <w:start w:val="4"/>
      <w:numFmt w:val="decimal"/>
      <w:lvlText w:val="%1."/>
      <w:lvlJc w:val="left"/>
      <w:pPr>
        <w:ind w:left="9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document_image_rId10.png" Type="http://schemas.openxmlformats.org/officeDocument/2006/relationships/image"/><Relationship Id="rId11" Target="media/document_image_rId11.png" Type="http://schemas.openxmlformats.org/officeDocument/2006/relationships/image"/><Relationship Id="rId12" Target="media/document_image_rId12.png" Type="http://schemas.openxmlformats.org/officeDocument/2006/relationships/image"/><Relationship Id="rId13" Target="media/document_image_rId13.png" Type="http://schemas.openxmlformats.org/officeDocument/2006/relationships/image"/><Relationship Id="rId14" Target="media/document_image_rId14.png" Type="http://schemas.openxmlformats.org/officeDocument/2006/relationships/image"/><Relationship Id="rId15" Target="media/document_image_rId15.png" Type="http://schemas.openxmlformats.org/officeDocument/2006/relationships/image"/><Relationship Id="rId16" Target="media/document_image_rId16.png" Type="http://schemas.openxmlformats.org/officeDocument/2006/relationships/image"/><Relationship Id="rId17" Target="media/document_image_rId17.png" Type="http://schemas.openxmlformats.org/officeDocument/2006/relationships/image"/><Relationship Id="rId18" Target="media/document_image_rId18.png" Type="http://schemas.openxmlformats.org/officeDocument/2006/relationships/image"/><Relationship Id="rId19" Target="media/document_image_rId19.png" Type="http://schemas.openxmlformats.org/officeDocument/2006/relationships/image"/><Relationship Id="rId2" Target="settings.xml" Type="http://schemas.openxmlformats.org/officeDocument/2006/relationships/settings"/><Relationship Id="rId3" Target="numbering.xml" Type="http://schemas.openxmlformats.org/officeDocument/2006/relationships/numbering"/><Relationship Id="rId4" Target="media/document_image_rId4.png" Type="http://schemas.openxmlformats.org/officeDocument/2006/relationships/image"/><Relationship Id="rId5" Target="media/document_image_rId5.png" Type="http://schemas.openxmlformats.org/officeDocument/2006/relationships/image"/><Relationship Id="rId6" Target="media/document_image_rId6.png" Type="http://schemas.openxmlformats.org/officeDocument/2006/relationships/image"/><Relationship Id="rId7" Target="media/document_image_rId7.png" Type="http://schemas.openxmlformats.org/officeDocument/2006/relationships/image"/><Relationship Id="rId8" Target="media/document_image_rId8.png" Type="http://schemas.openxmlformats.org/officeDocument/2006/relationships/image"/><Relationship Id="rId9" Target="media/document_image_rId9.png" Type="http://schemas.openxmlformats.org/officeDocument/2006/relationships/image"/></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