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CBAM（欧盟碳边境调节机制 / 碳关税）FAQ</w:t>
      </w:r>
    </w:p>
    <w:p>
      <w:pPr>
        <w:spacing w:after="50" w:line="360" w:lineRule="auto" w:beforeLines="100"/>
        <w:ind w:left="0"/>
        <w:jc w:val="left"/>
      </w:pPr>
      <w:bookmarkStart w:name="u2d469b39" w:id="0"/>
      <w:r>
        <w:rPr>
          <w:rFonts w:ascii="宋体" w:hAnsi="Times New Roman" w:eastAsia="宋体"/>
          <w:b/>
          <w:i w:val="false"/>
          <w:color w:val="000000"/>
          <w:sz w:val="22"/>
        </w:rPr>
        <w:t>Q1：CBAM 是什么？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CBAM（Carbon Border Adjustment Mechanism，碳边境调节机制）俗称"欧盟碳关税"。简单说：进口到欧盟的高碳产品，需要为其隐含的碳排放购买凭证、支付费用，使进口产品与欧盟本土产品承担相当的碳成本，防止碳泄漏。</w:t>
      </w:r>
    </w:p>
    <w:bookmarkEnd w:id="0"/>
    <w:bookmarkStart w:name="u7d490dfa" w:id="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Q2：哪些产品被覆盖？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目前覆盖 6 大行业（见表 1）。2025 年简化修订后还计划扩大反规避范围，将部分钢铁、铝的下游制品（如紧固件等）纳入，具体清单以欧盟官方附录为准。</w:t>
      </w:r>
    </w:p>
    <w:bookmarkEnd w:id="1"/>
    <w:bookmarkStart w:name="u3f569186" w:id="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表 1：CBAM 覆盖行业与典型产品</w:t>
      </w:r>
    </w:p>
    <w:bookmarkEnd w:id="2"/>
    <w:bookmarkStart w:name="chRlZ" w:id="3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4518"/>
        <w:gridCol w:w="4519"/>
        <w:gridCol w:w="4597"/>
      </w:tblGrid>
      <w:tr>
        <w:trPr>
          <w:trHeight w:val="495" w:hRule="atLeast"/>
        </w:trPr>
        <w:tc>
          <w:tcPr>
            <w:tcW w:w="45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fe09f8c" w:id="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行业</w:t>
            </w:r>
          </w:p>
          <w:bookmarkEnd w:id="4"/>
        </w:tc>
        <w:tc>
          <w:tcPr>
            <w:tcW w:w="451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69f777d" w:id="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典型覆盖产品</w:t>
            </w:r>
          </w:p>
          <w:bookmarkEnd w:id="5"/>
        </w:tc>
        <w:tc>
          <w:tcPr>
            <w:tcW w:w="459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376c478" w:id="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大致对应 HS 编码章节</w:t>
            </w:r>
          </w:p>
          <w:bookmarkEnd w:id="6"/>
        </w:tc>
      </w:tr>
      <w:tr>
        <w:trPr>
          <w:trHeight w:val="495" w:hRule="atLeast"/>
        </w:trPr>
        <w:tc>
          <w:tcPr>
            <w:tcW w:w="45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2859ec3" w:id="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水泥</w:t>
            </w:r>
          </w:p>
          <w:bookmarkEnd w:id="7"/>
        </w:tc>
        <w:tc>
          <w:tcPr>
            <w:tcW w:w="451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6800921" w:id="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熟料、水泥、铝酸盐水泥</w:t>
            </w:r>
          </w:p>
          <w:bookmarkEnd w:id="8"/>
        </w:tc>
        <w:tc>
          <w:tcPr>
            <w:tcW w:w="459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8ecbcb8" w:id="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25.23</w:t>
            </w:r>
          </w:p>
          <w:bookmarkEnd w:id="9"/>
        </w:tc>
      </w:tr>
      <w:tr>
        <w:trPr>
          <w:trHeight w:val="495" w:hRule="atLeast"/>
        </w:trPr>
        <w:tc>
          <w:tcPr>
            <w:tcW w:w="45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68b38bb" w:id="1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钢铁</w:t>
            </w:r>
          </w:p>
          <w:bookmarkEnd w:id="10"/>
        </w:tc>
        <w:tc>
          <w:tcPr>
            <w:tcW w:w="451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e8bc280" w:id="1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生铁、钢坯、板材、型材、钢管、紧固件类制品</w:t>
            </w:r>
          </w:p>
          <w:bookmarkEnd w:id="11"/>
        </w:tc>
        <w:tc>
          <w:tcPr>
            <w:tcW w:w="459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44e3cdf" w:id="1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72、73</w:t>
            </w:r>
          </w:p>
          <w:bookmarkEnd w:id="12"/>
        </w:tc>
      </w:tr>
      <w:tr>
        <w:trPr>
          <w:trHeight w:val="495" w:hRule="atLeast"/>
        </w:trPr>
        <w:tc>
          <w:tcPr>
            <w:tcW w:w="45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1f09d0c" w:id="1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铝</w:t>
            </w:r>
          </w:p>
          <w:bookmarkEnd w:id="13"/>
        </w:tc>
        <w:tc>
          <w:tcPr>
            <w:tcW w:w="451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2d823f4" w:id="1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原铝、铝合金、铝板带箔、铝制制品</w:t>
            </w:r>
          </w:p>
          <w:bookmarkEnd w:id="14"/>
        </w:tc>
        <w:tc>
          <w:tcPr>
            <w:tcW w:w="459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213f994" w:id="1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76</w:t>
            </w:r>
          </w:p>
          <w:bookmarkEnd w:id="15"/>
        </w:tc>
      </w:tr>
      <w:tr>
        <w:trPr>
          <w:trHeight w:val="495" w:hRule="atLeast"/>
        </w:trPr>
        <w:tc>
          <w:tcPr>
            <w:tcW w:w="45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b9013e1" w:id="1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化肥</w:t>
            </w:r>
          </w:p>
          <w:bookmarkEnd w:id="16"/>
        </w:tc>
        <w:tc>
          <w:tcPr>
            <w:tcW w:w="451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2fab9a8" w:id="1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氨、硝酸、尿素、混合化肥</w:t>
            </w:r>
          </w:p>
          <w:bookmarkEnd w:id="17"/>
        </w:tc>
        <w:tc>
          <w:tcPr>
            <w:tcW w:w="459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21242646" w:id="1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28、31</w:t>
            </w:r>
          </w:p>
          <w:bookmarkEnd w:id="18"/>
        </w:tc>
      </w:tr>
      <w:tr>
        <w:trPr>
          <w:trHeight w:val="495" w:hRule="atLeast"/>
        </w:trPr>
        <w:tc>
          <w:tcPr>
            <w:tcW w:w="45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f8376a6" w:id="1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电力</w:t>
            </w:r>
          </w:p>
          <w:bookmarkEnd w:id="19"/>
        </w:tc>
        <w:tc>
          <w:tcPr>
            <w:tcW w:w="451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51d1f9f" w:id="2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进口电力</w:t>
            </w:r>
          </w:p>
          <w:bookmarkEnd w:id="20"/>
        </w:tc>
        <w:tc>
          <w:tcPr>
            <w:tcW w:w="459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e172ded" w:id="2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27.16</w:t>
            </w:r>
          </w:p>
          <w:bookmarkEnd w:id="21"/>
        </w:tc>
      </w:tr>
      <w:tr>
        <w:trPr>
          <w:trHeight w:val="495" w:hRule="atLeast"/>
        </w:trPr>
        <w:tc>
          <w:tcPr>
            <w:tcW w:w="451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acb58c7" w:id="2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氢</w:t>
            </w:r>
          </w:p>
          <w:bookmarkEnd w:id="22"/>
        </w:tc>
        <w:tc>
          <w:tcPr>
            <w:tcW w:w="451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f074199" w:id="2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氢气</w:t>
            </w:r>
          </w:p>
          <w:bookmarkEnd w:id="23"/>
        </w:tc>
        <w:tc>
          <w:tcPr>
            <w:tcW w:w="459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193d661" w:id="2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28</w:t>
            </w:r>
          </w:p>
          <w:bookmarkEnd w:id="24"/>
        </w:tc>
      </w:tr>
    </w:tbl>
    <w:bookmarkEnd w:id="3"/>
    <w:bookmarkStart w:name="uffd31aea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Q3：中国的出口企业是"义务人"吗？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法律意义上的义务人是</w:t>
      </w:r>
      <w:r>
        <w:rPr>
          <w:rFonts w:ascii="宋体" w:hAnsi="Times New Roman" w:eastAsia="宋体"/>
          <w:b/>
          <w:i w:val="false"/>
          <w:color w:val="000000"/>
          <w:sz w:val="22"/>
        </w:rPr>
        <w:t>欧盟进口商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（授权申报方）。但排放数据的填报责任实际落在生产企业头上——欧盟进口商会向中国出口企业索要产品隐含碳排放数据。所以对中国企业而言，CBAM 是</w:t>
      </w:r>
      <w:r>
        <w:rPr>
          <w:rFonts w:ascii="宋体" w:hAnsi="Times New Roman" w:eastAsia="宋体"/>
          <w:b/>
          <w:i w:val="false"/>
          <w:color w:val="000000"/>
          <w:sz w:val="22"/>
        </w:rPr>
        <w:t>数据合规义务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：不做，客户就换供应商。</w:t>
      </w:r>
    </w:p>
    <w:bookmarkEnd w:id="25"/>
    <w:bookmarkStart w:name="ua23cde03" w:id="2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Q4：时间线怎么走的？</w:t>
      </w:r>
    </w:p>
    <w:bookmarkEnd w:id="26"/>
    <w:bookmarkStart w:name="ub979ba8c" w:id="2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表 2：CBAM 关键时间节点</w:t>
      </w:r>
    </w:p>
    <w:bookmarkEnd w:id="27"/>
    <w:bookmarkStart w:name="FZOpo" w:id="28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4447"/>
        <w:gridCol w:w="4624"/>
        <w:gridCol w:w="4563"/>
      </w:tblGrid>
      <w:tr>
        <w:trPr>
          <w:trHeight w:val="495" w:hRule="atLeast"/>
        </w:trPr>
        <w:tc>
          <w:tcPr>
            <w:tcW w:w="44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da87bf0" w:id="2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阶段</w:t>
            </w:r>
          </w:p>
          <w:bookmarkEnd w:id="29"/>
        </w:tc>
        <w:tc>
          <w:tcPr>
            <w:tcW w:w="46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af3ca98" w:id="3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时间</w:t>
            </w:r>
          </w:p>
          <w:bookmarkEnd w:id="30"/>
        </w:tc>
        <w:tc>
          <w:tcPr>
            <w:tcW w:w="456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c034878" w:id="3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核心要求</w:t>
            </w:r>
          </w:p>
          <w:bookmarkEnd w:id="31"/>
        </w:tc>
      </w:tr>
      <w:tr>
        <w:trPr>
          <w:trHeight w:val="495" w:hRule="atLeast"/>
        </w:trPr>
        <w:tc>
          <w:tcPr>
            <w:tcW w:w="44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8d73069" w:id="3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过渡期</w:t>
            </w:r>
          </w:p>
          <w:bookmarkEnd w:id="32"/>
        </w:tc>
        <w:tc>
          <w:tcPr>
            <w:tcW w:w="46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add15d6b" w:id="3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2023.10.1 – 2025.12.31</w:t>
            </w:r>
          </w:p>
          <w:bookmarkEnd w:id="33"/>
        </w:tc>
        <w:tc>
          <w:tcPr>
            <w:tcW w:w="456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624d32c" w:id="3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仅提交季度报告，不缴费；可使用默认值（后期限制）</w:t>
            </w:r>
          </w:p>
          <w:bookmarkEnd w:id="34"/>
        </w:tc>
      </w:tr>
      <w:tr>
        <w:trPr>
          <w:trHeight w:val="495" w:hRule="atLeast"/>
        </w:trPr>
        <w:tc>
          <w:tcPr>
            <w:tcW w:w="44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900f7a1" w:id="3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正式期</w:t>
            </w:r>
          </w:p>
          <w:bookmarkEnd w:id="35"/>
        </w:tc>
        <w:tc>
          <w:tcPr>
            <w:tcW w:w="46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ff3efa6" w:id="3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2026.1.1 起</w:t>
            </w:r>
          </w:p>
          <w:bookmarkEnd w:id="36"/>
        </w:tc>
        <w:tc>
          <w:tcPr>
            <w:tcW w:w="456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a0d2307" w:id="3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逐年申报隐含排放；需购买 CBAM 证书清缴（按 2025 年简化修订，证书自 2027 年 2 月起发售，首次申报清缴截止 2027 年 9 月底，覆盖 2026 年排放）</w:t>
            </w:r>
          </w:p>
          <w:bookmarkEnd w:id="37"/>
        </w:tc>
      </w:tr>
      <w:tr>
        <w:trPr>
          <w:trHeight w:val="495" w:hRule="atLeast"/>
        </w:trPr>
        <w:tc>
          <w:tcPr>
            <w:tcW w:w="4447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bd0a4dc" w:id="3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全面实施</w:t>
            </w:r>
          </w:p>
          <w:bookmarkEnd w:id="38"/>
        </w:tc>
        <w:tc>
          <w:tcPr>
            <w:tcW w:w="4624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3988058" w:id="3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2026 – 2034</w:t>
            </w:r>
          </w:p>
          <w:bookmarkEnd w:id="39"/>
        </w:tc>
        <w:tc>
          <w:tcPr>
            <w:tcW w:w="456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4adca0e" w:id="4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与欧盟碳市场（EU ETS）免费配额逐步退坡同步，碳成本逐年加码</w:t>
            </w:r>
          </w:p>
          <w:bookmarkEnd w:id="40"/>
        </w:tc>
      </w:tr>
    </w:tbl>
    <w:bookmarkEnd w:id="28"/>
    <w:bookmarkStart w:name="ua2c2528a" w:id="4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Q5：过渡期和正式期最大的区别是什么？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过渡期"只报不缴"，报错最多罚款；正式期"真金白银"——隐含排放要折算成 CBAM 证书清缴，每吨碳按 EU ETS 拍卖均价计价。此外正式期要求排放数据经</w:t>
      </w:r>
      <w:r>
        <w:rPr>
          <w:rFonts w:ascii="宋体" w:hAnsi="Times New Roman" w:eastAsia="宋体"/>
          <w:b/>
          <w:i w:val="false"/>
          <w:color w:val="000000"/>
          <w:sz w:val="22"/>
        </w:rPr>
        <w:t>认证核查机构核证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，默认值的使用被严格限制。</w:t>
      </w:r>
    </w:p>
    <w:bookmarkEnd w:id="41"/>
    <w:bookmarkStart w:name="u6dc1be18" w:id="4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Q6：要填的核心数据是什么？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产品</w:t>
      </w:r>
      <w:r>
        <w:rPr>
          <w:rFonts w:ascii="宋体" w:hAnsi="Times New Roman" w:eastAsia="宋体"/>
          <w:b/>
          <w:i w:val="false"/>
          <w:color w:val="000000"/>
          <w:sz w:val="22"/>
        </w:rPr>
        <w:t>隐含碳排放（Embedded Emissions）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：生产每吨产品全流程直接+间接排放（tCO₂e/吨产品）。配套字段还包括：生产装置信息、生产路线（工艺）、用电情况（含绿电）、原国已付碳价等。</w:t>
      </w:r>
    </w:p>
    <w:bookmarkEnd w:id="42"/>
    <w:bookmarkStart w:name="u5323e7b2" w:id="4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表 3：季度报告核心字段（过渡期）</w:t>
      </w:r>
    </w:p>
    <w:bookmarkEnd w:id="43"/>
    <w:bookmarkStart w:name="a7ngR" w:id="44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6781"/>
        <w:gridCol w:w="6853"/>
      </w:tblGrid>
      <w:tr>
        <w:trPr>
          <w:trHeight w:val="495" w:hRule="atLeast"/>
        </w:trPr>
        <w:tc>
          <w:tcPr>
            <w:tcW w:w="67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a92455d" w:id="4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字段</w:t>
            </w:r>
          </w:p>
          <w:bookmarkEnd w:id="45"/>
        </w:tc>
        <w:tc>
          <w:tcPr>
            <w:tcW w:w="68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46b084b8" w:id="4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说明</w:t>
            </w:r>
          </w:p>
          <w:bookmarkEnd w:id="46"/>
        </w:tc>
      </w:tr>
      <w:tr>
        <w:trPr>
          <w:trHeight w:val="495" w:hRule="atLeast"/>
        </w:trPr>
        <w:tc>
          <w:tcPr>
            <w:tcW w:w="67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f2d3b9b" w:id="4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进口产品数量</w:t>
            </w:r>
          </w:p>
          <w:bookmarkEnd w:id="47"/>
        </w:tc>
        <w:tc>
          <w:tcPr>
            <w:tcW w:w="68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6a23bda" w:id="4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分 HS 编码、分原产国</w:t>
            </w:r>
          </w:p>
          <w:bookmarkEnd w:id="48"/>
        </w:tc>
      </w:tr>
      <w:tr>
        <w:trPr>
          <w:trHeight w:val="495" w:hRule="atLeast"/>
        </w:trPr>
        <w:tc>
          <w:tcPr>
            <w:tcW w:w="67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2d648b0" w:id="4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直接隐含排放</w:t>
            </w:r>
          </w:p>
          <w:bookmarkEnd w:id="49"/>
        </w:tc>
        <w:tc>
          <w:tcPr>
            <w:tcW w:w="68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cf2484c" w:id="5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生产装置现场排放（tCO₂e）</w:t>
            </w:r>
          </w:p>
          <w:bookmarkEnd w:id="50"/>
        </w:tc>
      </w:tr>
      <w:tr>
        <w:trPr>
          <w:trHeight w:val="495" w:hRule="atLeast"/>
        </w:trPr>
        <w:tc>
          <w:tcPr>
            <w:tcW w:w="67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3a4cbf05" w:id="5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间接隐含排放</w:t>
            </w:r>
          </w:p>
          <w:bookmarkEnd w:id="51"/>
        </w:tc>
        <w:tc>
          <w:tcPr>
            <w:tcW w:w="68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e58935a2" w:id="5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生产用电对应的间接排放（tCO₂e）</w:t>
            </w:r>
          </w:p>
          <w:bookmarkEnd w:id="52"/>
        </w:tc>
      </w:tr>
      <w:tr>
        <w:trPr>
          <w:trHeight w:val="495" w:hRule="atLeast"/>
        </w:trPr>
        <w:tc>
          <w:tcPr>
            <w:tcW w:w="67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73b9977" w:id="5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排放数据来源</w:t>
            </w:r>
          </w:p>
          <w:bookmarkEnd w:id="53"/>
        </w:tc>
        <w:tc>
          <w:tcPr>
            <w:tcW w:w="68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60058720" w:id="5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实测值 / 默认值（注明）</w:t>
            </w:r>
          </w:p>
          <w:bookmarkEnd w:id="54"/>
        </w:tc>
      </w:tr>
      <w:tr>
        <w:trPr>
          <w:trHeight w:val="495" w:hRule="atLeast"/>
        </w:trPr>
        <w:tc>
          <w:tcPr>
            <w:tcW w:w="6781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c1b9144" w:id="5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原产国已付碳价</w:t>
            </w:r>
          </w:p>
          <w:bookmarkEnd w:id="55"/>
        </w:tc>
        <w:tc>
          <w:tcPr>
            <w:tcW w:w="6853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d796828" w:id="5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是否已在本国支付碳成本及金额</w:t>
            </w:r>
          </w:p>
          <w:bookmarkEnd w:id="56"/>
        </w:tc>
      </w:tr>
    </w:tbl>
    <w:bookmarkEnd w:id="44"/>
    <w:bookmarkStart w:name="u72f1cdcf" w:id="5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Q7：默认值和实测值怎么选？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过渡期初期可用欧盟发布的默认值，但缺陷明显：默认值通常按出口国平均或保守水平设定，往往</w:t>
      </w:r>
      <w:r>
        <w:rPr>
          <w:rFonts w:ascii="宋体" w:hAnsi="Times New Roman" w:eastAsia="宋体"/>
          <w:b/>
          <w:i w:val="false"/>
          <w:color w:val="000000"/>
          <w:sz w:val="22"/>
        </w:rPr>
        <w:t>高于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先进企业实测值。正式期原则上要求实测值并经核证，默认值仅限小额、特殊情形使用。建议尽早启动实测数据体系，越晚切换成本越高。</w:t>
      </w:r>
    </w:p>
    <w:bookmarkEnd w:id="57"/>
    <w:bookmarkStart w:name="u1b5f6f03" w:id="5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Q8：用绿电能降 CBAM 成本吗？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能，但有严格条件。间接排放可扣减的前提是电力消费满足欧盟 PPA（购电协议）或直连等要求，自购绿证（如单纯买 REC/绿证）一般不被认可。有条件的企业可与欧盟客户确认其接受的电力核算口径。</w:t>
      </w:r>
    </w:p>
    <w:bookmarkEnd w:id="58"/>
    <w:bookmarkStart w:name="u01a98e83" w:id="5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Q9：中国企业已经在缴的碳价能抵扣吗？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可以。在原产国已实际支付的碳价（如全国碳市场配额成本）可在申报中声明并抵扣，但需提供可核证的缴费凭证。目前中国碳市场覆盖钢铁、铝等行业部分企业，实际抵扣空间取决于贵司是否被纳入及履约情况。</w:t>
      </w:r>
    </w:p>
    <w:bookmarkEnd w:id="59"/>
    <w:bookmarkStart w:name="u85ea3e02" w:id="6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Q10：数据的计量边界到哪里？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按"生产装置"而非"公司整体"核算。同一厂区不同产线、不同工艺路线（如长流程 vs 短流程炼钢）须分开计量。这也是为什么多数企业需要新增分表计量、工序级台账——公司总账算不出 CBAM 要的数据。</w:t>
      </w:r>
    </w:p>
    <w:bookmarkEnd w:id="60"/>
    <w:bookmarkStart w:name="u9535234c" w:id="6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Q11：CBAM 到底会增加多少成本？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取决于三个变量：产品隐含排放 × EU ETS 碳价 ×（1 − 抵扣比例）。举例：钢产品隐含排放 2 tCO₂/吨，碳价按 80 欧元算，粗算每吨出口成本增加约 160 欧元（未计国内碳价抵扣）。高排放、低附加值产品受冲击最大。</w:t>
      </w:r>
    </w:p>
    <w:bookmarkEnd w:id="61"/>
    <w:bookmarkStart w:name="u5a317b68" w:id="6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Q12：不报或虚报会怎样？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过渡期：未报告或错报，按未申报排放量处 10~50 欧元/吨 CO₂ 的罚款，且豁免情形很有限。正式期：欠缴证书另有处罚，情节严重的会进入欧盟海关重点核查名单——对出口企业而言，更大的隐性代价是失去欧盟客户信任。</w:t>
      </w:r>
    </w:p>
    <w:bookmarkEnd w:id="62"/>
    <w:bookmarkStart w:name="u235c2b61" w:id="6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Q13：欧盟客户找我们要数据，给还是不给？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要给，但要有边界地给。建议做法：按欧盟标准模板（communication template）提供装置级排放数据；涉及商业敏感信息（具体能耗、成本）的，可在数据保密协议框架下提供，或经第三方核查后出具报告。完全拒绝提供，客户只能用默认值填报——通常把你们"报高"，最终成本转嫁回你们头上。</w:t>
      </w:r>
    </w:p>
    <w:bookmarkEnd w:id="63"/>
    <w:bookmarkStart w:name="u95c50795" w:id="6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Q14：谁是"核查机构"，怎么应对？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正式期排放数据须经欧盟认可的认证核查机构按 EU ETS 同等标准核证。企业需要提前做到：工序级计量完备、数据可追溯、有完整证据链。建议按"随时可被审计"的标准建设数据体系，而不是临时补数。</w:t>
      </w:r>
    </w:p>
    <w:bookmarkEnd w:id="64"/>
    <w:bookmarkStart w:name="u948cd0cf" w:id="6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Q15：小批量的出口有没有豁免？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有。2025 年简化修订引入了最低门槛：年进口量 50 吨及以下的（覆盖商品）可豁免 CBAM 义务。但注意豁免主体是欧盟进口商，中国出口企业的数据提供义务仍可能被客户要求配合；且门槛按"年累计"计算，订单分散也可能累计超限。</w:t>
      </w:r>
    </w:p>
    <w:bookmarkEnd w:id="65"/>
    <w:bookmarkStart w:name="ub7739aeb" w:id="6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Q16：我们公司应该从哪一步开始？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建议按"三步走"：</w:t>
      </w:r>
    </w:p>
    <w:bookmarkEnd w:id="66"/>
    <w:bookmarkStart w:name="nwC3f" w:id="67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4520"/>
        <w:gridCol w:w="4565"/>
        <w:gridCol w:w="4549"/>
      </w:tblGrid>
      <w:tr>
        <w:trPr>
          <w:trHeight w:val="495" w:hRule="atLeast"/>
        </w:trPr>
        <w:tc>
          <w:tcPr>
            <w:tcW w:w="45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123446b" w:id="6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步骤</w:t>
            </w:r>
          </w:p>
          <w:bookmarkEnd w:id="68"/>
        </w:tc>
        <w:tc>
          <w:tcPr>
            <w:tcW w:w="456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ed42ee0" w:id="6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动作</w:t>
            </w:r>
          </w:p>
          <w:bookmarkEnd w:id="69"/>
        </w:tc>
        <w:tc>
          <w:tcPr>
            <w:tcW w:w="454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53f548c7" w:id="7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判断标准</w:t>
            </w:r>
          </w:p>
          <w:bookmarkEnd w:id="70"/>
        </w:tc>
      </w:tr>
      <w:tr>
        <w:trPr>
          <w:trHeight w:val="495" w:hRule="atLeast"/>
        </w:trPr>
        <w:tc>
          <w:tcPr>
            <w:tcW w:w="45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6ee394a" w:id="71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① 摸底</w:t>
            </w:r>
          </w:p>
          <w:bookmarkEnd w:id="71"/>
        </w:tc>
        <w:tc>
          <w:tcPr>
            <w:tcW w:w="456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e240e4b" w:id="7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按 HS 编码筛查全部出口产品，确认是否在覆盖清单</w:t>
            </w:r>
          </w:p>
          <w:bookmarkEnd w:id="72"/>
        </w:tc>
        <w:tc>
          <w:tcPr>
            <w:tcW w:w="454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e4a17a0" w:id="7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覆盖即启动</w:t>
            </w:r>
          </w:p>
          <w:bookmarkEnd w:id="73"/>
        </w:tc>
      </w:tr>
      <w:tr>
        <w:trPr>
          <w:trHeight w:val="495" w:hRule="atLeast"/>
        </w:trPr>
        <w:tc>
          <w:tcPr>
            <w:tcW w:w="45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f75a3b2" w:id="7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② 计量</w:t>
            </w:r>
          </w:p>
          <w:bookmarkEnd w:id="74"/>
        </w:tc>
        <w:tc>
          <w:tcPr>
            <w:tcW w:w="456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97bfcd17" w:id="7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梳理生产装置、工序边界，补齐分表计量与排放台账</w:t>
            </w:r>
          </w:p>
          <w:bookmarkEnd w:id="75"/>
        </w:tc>
        <w:tc>
          <w:tcPr>
            <w:tcW w:w="454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0b2ad758" w:id="7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能出具装置级实测数据</w:t>
            </w:r>
          </w:p>
          <w:bookmarkEnd w:id="76"/>
        </w:tc>
      </w:tr>
      <w:tr>
        <w:trPr>
          <w:trHeight w:val="495" w:hRule="atLeast"/>
        </w:trPr>
        <w:tc>
          <w:tcPr>
            <w:tcW w:w="4520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082fba9" w:id="77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③ 体系</w:t>
            </w:r>
          </w:p>
          <w:bookmarkEnd w:id="77"/>
        </w:tc>
        <w:tc>
          <w:tcPr>
            <w:tcW w:w="4565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8a9139c0" w:id="78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建立月度碳数据核算 + 核查预留机制，对接客户申报节奏</w:t>
            </w:r>
          </w:p>
          <w:bookmarkEnd w:id="78"/>
        </w:tc>
        <w:tc>
          <w:tcPr>
            <w:tcW w:w="4549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954343d" w:id="7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数据"月月可出、随时可审"</w:t>
            </w:r>
          </w:p>
          <w:bookmarkEnd w:id="79"/>
        </w:tc>
      </w:tr>
    </w:tbl>
    <w:bookmarkEnd w:id="67"/>
    <w:bookmarkStart w:name="uf134a015" w:id="8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Q17：为什么要尽早用实测值替换默认值？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默认值是"地狱难度开局"：它不反映你的节能改造和工艺进步。实测值通常显著低于默认值（尤其做了能效提升的企业），直接决定正式期的证书购买成本。晚切换一年，就多按默认值多缴一年。</w:t>
      </w:r>
    </w:p>
    <w:bookmarkEnd w:id="80"/>
    <w:bookmarkStart w:name="u252874e7" w:id="8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Q18：CBAM 和我们做碳盘查（组织层面）是一回事吗？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不是，边界完全不同：碳盘查算的是</w:t>
      </w:r>
      <w:r>
        <w:rPr>
          <w:rFonts w:ascii="宋体" w:hAnsi="Times New Roman" w:eastAsia="宋体"/>
          <w:b/>
          <w:i w:val="false"/>
          <w:color w:val="000000"/>
          <w:sz w:val="22"/>
        </w:rPr>
        <w:t>企业整体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的排放（范围一、二、三），CBAM 要的是</w:t>
      </w:r>
      <w:r>
        <w:rPr>
          <w:rFonts w:ascii="宋体" w:hAnsi="Times New Roman" w:eastAsia="宋体"/>
          <w:b/>
          <w:i w:val="false"/>
          <w:color w:val="000000"/>
          <w:sz w:val="22"/>
        </w:rPr>
        <w:t>单产品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的隐含排放，颗粒度到工序、到装置。很多做过盘查的企业照样填不出 CBAM 数据。正确姿势是以 CBAM 要求倒逼工序级计量建设，两套体系共用一套底层数据。</w:t>
      </w:r>
    </w:p>
    <w:bookmarkEnd w:id="81"/>
    <w:bookmarkStart w:name="u2ad0e9e8" w:id="8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Q19：除了 CBAM，还有哪些类似机制要盯？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英国已宣布拟于 2027 年起实施自己的 CBAM；美国、加拿大、日本在讨论类似机制。趋势判断：碳边境调节会从"欧盟单点"变成"发达市场标配"。对出口企业来说，产品级碳数据能力是面向所有未来机制的一次性投资。</w:t>
      </w:r>
    </w:p>
    <w:bookmarkEnd w:id="82"/>
    <w:bookmarkStart w:name="u08371340" w:id="8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Q20：这件事有没有"省事"的合规路径？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有相对省力的做法，没有免考的做法：接入能碳管理平台，把计量、核算、申报模板化。企业自己用 Excel 拼数据的方式在过渡期勉强能撑，正式期面对"季度更新 + 第三方核证 + 客户多口径索要"，人工模式的差错率和人力成本都会失控。数据体系一次建好，CBAM、客户 ESG 问询、国内碳市场三个场景同时受益。</w:t>
      </w:r>
    </w:p>
    <w:bookmarkEnd w:id="83"/>
    <w:bookmarkStart w:name="u952f206e" w:id="84"/>
    <w:bookmarkEnd w:id="84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numbering.xml" Type="http://schemas.openxmlformats.org/officeDocument/2006/relationships/numbering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