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【轨物洞见】CBAM 碳关税是什么？政策机制与出口企业应对全解读</w:t>
      </w:r>
    </w:p>
    <w:p>
      <w:pPr>
        <w:pStyle w:val="Heading1"/>
        <w:spacing w:after="50" w:line="360" w:lineRule="auto" w:beforeLines="100"/>
        <w:ind w:left="0"/>
        <w:jc w:val="left"/>
      </w:pPr>
      <w:bookmarkStart w:name="SHzgR" w:id="0"/>
      <w:bookmarkStart w:name="ue92a9310" w:id="1"/>
      <w:r>
        <w:rPr>
          <w:rFonts w:eastAsia="宋体" w:ascii="宋体"/>
        </w:rPr>
        <w:drawing>
          <wp:inline distT="0" distB="0" distL="0" distR="0">
            <wp:extent cx="5841999" cy="37972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6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bookmarkStart w:name="u7f80ebab" w:id="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CBAM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（Carbon Border Adjustment Mechanism，碳边境调节机制）是欧盟对进口碳密集型产品征收碳排放费用的贸易政策工具，依据欧盟法规 Regulation (EU) 2023/953/956 设立，属于“Fit for 55”减排计划的组成部分。其目标是防止“碳泄漏”——避免高碳产业向无碳价地区转移——并使进口产品与欧盟本土产品承担同等碳价，业内俗称“</w:t>
      </w:r>
      <w:r>
        <w:rPr>
          <w:rFonts w:ascii="宋体" w:hAnsi="Times New Roman" w:eastAsia="宋体"/>
          <w:b/>
          <w:i w:val="false"/>
          <w:color w:val="004347"/>
          <w:sz w:val="22"/>
        </w:rPr>
        <w:t>碳关税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”。</w:t>
      </w:r>
    </w:p>
    <w:bookmarkEnd w:id="2"/>
    <w:bookmarkStart w:name="uc220a362" w:id="3"/>
    <w:p>
      <w:pPr>
        <w:spacing w:after="50" w:line="360" w:lineRule="auto" w:beforeLines="100"/>
        <w:ind w:left="0"/>
        <w:jc w:val="left"/>
      </w:pPr>
      <w:bookmarkStart w:name="ud0057bb8" w:id="4"/>
      <w:r>
        <w:rPr>
          <w:rFonts w:eastAsia="宋体" w:ascii="宋体"/>
        </w:rPr>
        <w:drawing>
          <wp:inline distT="0" distB="0" distL="0" distR="0">
            <wp:extent cx="5842000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392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bookmarkEnd w:id="3"/>
    <w:bookmarkStart w:name="ua1b68d95" w:id="5"/>
    <w:p>
      <w:pPr>
        <w:numPr>
          <w:ilvl w:val="0"/>
          <w:numId w:val="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2021年7月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欧盟委员会提交立法草案</w:t>
      </w:r>
    </w:p>
    <w:bookmarkEnd w:id="5"/>
    <w:bookmarkStart w:name="u8fe5b939" w:id="6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2023年5月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欧洲议会通过最终法案</w:t>
      </w:r>
    </w:p>
    <w:bookmarkEnd w:id="6"/>
    <w:bookmarkStart w:name="u3d9f203f" w:id="7"/>
    <w:p>
      <w:pPr>
        <w:numPr>
          <w:ilvl w:val="0"/>
          <w:numId w:val="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2023年10月—2025年12月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过渡期，进口商按季度报送碳数据、不缴费</w:t>
      </w:r>
    </w:p>
    <w:bookmarkEnd w:id="7"/>
    <w:bookmarkStart w:name="u8efce007" w:id="8"/>
    <w:p>
      <w:pPr>
        <w:numPr>
          <w:ilvl w:val="0"/>
          <w:numId w:val="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2026年1月1日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CBAM 正式进入征收期，过渡期结束</w:t>
      </w:r>
    </w:p>
    <w:bookmarkEnd w:id="8"/>
    <w:bookmarkStart w:name="u41de6559" w:id="9"/>
    <w:p>
      <w:pPr>
        <w:numPr>
          <w:ilvl w:val="0"/>
          <w:numId w:val="5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2027年2月—9月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：首批 CBAM 证书购买与首次清缴（清缴 2026 年度费用）</w:t>
      </w:r>
    </w:p>
    <w:bookmarkEnd w:id="9"/>
    <w:bookmarkStart w:name="u2da94962" w:id="10"/>
    <w:p>
      <w:pPr>
        <w:numPr>
          <w:ilvl w:val="0"/>
          <w:numId w:val="6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2028年起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：拟扩展至约 180 个钢铝密集型下游产品（机械设备、汽车零部件、家电等）</w:t>
      </w:r>
    </w:p>
    <w:bookmarkEnd w:id="10"/>
    <w:bookmarkStart w:name="u14386019" w:id="11"/>
    <w:p>
      <w:pPr>
        <w:spacing w:after="50" w:line="360" w:lineRule="auto" w:beforeLines="100"/>
        <w:ind w:left="0"/>
        <w:jc w:val="left"/>
      </w:pPr>
      <w:bookmarkStart w:name="ua3e8539d" w:id="12"/>
      <w:r>
        <w:rPr>
          <w:rFonts w:eastAsia="宋体" w:ascii="宋体"/>
        </w:rPr>
        <w:drawing>
          <wp:inline distT="0" distB="0" distL="0" distR="0">
            <wp:extent cx="5841999" cy="137280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59867" cy="4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2"/>
    </w:p>
    <w:bookmarkEnd w:id="11"/>
    <w:bookmarkStart w:name="u7a996ad5" w:id="1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现行 CBAM 共覆盖六大类产品 —— 钢铁、铝、水泥、化肥、氢和电力，具体以欧盟 CN 海关税则号清单为准。凡落在清单内的商品，进口即进入 CBAM 监管范畴。</w:t>
      </w:r>
    </w:p>
    <w:bookmarkEnd w:id="13"/>
    <w:bookmarkStart w:name="uc73f6a3e" w:id="1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两条关键判定规则：</w:t>
      </w:r>
    </w:p>
    <w:bookmarkEnd w:id="14"/>
    <w:bookmarkStart w:name="uc99f8882" w:id="1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其一，</w:t>
      </w:r>
      <w:r>
        <w:rPr>
          <w:rFonts w:ascii="宋体" w:hAnsi="Times New Roman" w:eastAsia="宋体"/>
          <w:b/>
          <w:i w:val="false"/>
          <w:color w:val="004347"/>
          <w:sz w:val="22"/>
        </w:rPr>
        <w:t>50 吨豁免门槛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。除电力和氢外，欧盟进口商对某类受控产品的年进口量不超过 50 吨，则不触发合规义务。这一门槛可豁免约 90% 的进口商，却仍覆盖约 99% 的碳排放量 —— 即 “大多数企业免于申报，绝大多数排放受到监管”，实现了降低行政负担与守住减排目标之间的平衡。</w:t>
      </w:r>
    </w:p>
    <w:bookmarkEnd w:id="15"/>
    <w:bookmarkStart w:name="u824908af" w:id="16"/>
    <w:p>
      <w:pPr>
        <w:spacing w:after="50" w:line="360" w:lineRule="auto" w:beforeLines="100"/>
        <w:ind w:left="0"/>
        <w:jc w:val="left"/>
      </w:pPr>
      <w:bookmarkStart w:name="ucd61f882" w:id="17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7"/>
    </w:p>
    <w:bookmarkEnd w:id="16"/>
    <w:bookmarkStart w:name="ue6061cf5" w:id="1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其二，</w:t>
      </w:r>
      <w:r>
        <w:rPr>
          <w:rFonts w:ascii="宋体" w:hAnsi="Times New Roman" w:eastAsia="宋体"/>
          <w:b/>
          <w:i w:val="false"/>
          <w:color w:val="004347"/>
          <w:sz w:val="22"/>
        </w:rPr>
        <w:t>税则号判定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是否申报以产品是否落入 CBAM 税则号为唯一依据。即使产品以钢、铝为原料，只要其税则号不在清单内，现阶段也暂不报送。但需注意，2028 年机制扩围后，监管将延伸至下游制成品，届时涉及间接排放的更多品类会被纳入。</w:t>
      </w:r>
    </w:p>
    <w:bookmarkEnd w:id="18"/>
    <w:bookmarkStart w:name="u26f06044" w:id="1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义务主体与中方企业动作：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CBAM 的申报义务主体是欧盟进口商，中国出口企业无需独立申报，但这并不意味着 “无事一身轻”。进口商在申报时，必须获取三项材料：产品隐含碳排放数据、第三方核查报告、原产国已支付碳成本证明。中方企业需在进口商申报时及时、准确地提供这三样东西，配合程度直接决定通关效率与订单的可持续性 —— 数据不实或提供滞后，轻则延误通关，重则影响长期合作。</w:t>
      </w:r>
    </w:p>
    <w:bookmarkEnd w:id="19"/>
    <w:bookmarkStart w:name="u9923206d" w:id="20"/>
    <w:p>
      <w:pPr>
        <w:spacing w:after="50" w:line="360" w:lineRule="auto" w:beforeLines="100"/>
        <w:ind w:left="0"/>
        <w:jc w:val="left"/>
      </w:pPr>
      <w:bookmarkStart w:name="u72ec2de2" w:id="21"/>
      <w:r>
        <w:rPr>
          <w:rFonts w:eastAsia="宋体" w:ascii="宋体"/>
        </w:rPr>
        <w:drawing>
          <wp:inline distT="0" distB="0" distL="0" distR="0">
            <wp:extent cx="5842000" cy="134358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542933" cy="403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1"/>
    </w:p>
    <w:bookmarkEnd w:id="20"/>
    <w:bookmarkStart w:name="ucb8d4412" w:id="2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CBAM 碳成本的核心公式：</w:t>
      </w:r>
    </w:p>
    <w:bookmarkEnd w:id="22"/>
    <w:bookmarkStart w:name="uc712fc92" w:id="2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CBAM 应缴成本 =（总隐含碳排放 − 免费配额对应的排放）× CBAM 证书价格 − 原产国已缴碳价</w:t>
      </w:r>
    </w:p>
    <w:bookmarkEnd w:id="23"/>
    <w:bookmarkStart w:name="u1c40e366" w:id="24"/>
    <w:p>
      <w:pPr>
        <w:spacing w:after="50" w:line="360" w:lineRule="auto" w:beforeLines="100"/>
        <w:ind w:left="0"/>
        <w:jc w:val="left"/>
      </w:pPr>
      <w:bookmarkStart w:name="u8f45237d" w:id="25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5"/>
    </w:p>
    <w:bookmarkEnd w:id="24"/>
    <w:bookmarkStart w:name="u338fe971" w:id="2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三个关键变量：</w:t>
      </w:r>
    </w:p>
    <w:bookmarkEnd w:id="26"/>
    <w:bookmarkStart w:name="u4a83588c" w:id="27"/>
    <w:p>
      <w:pPr>
        <w:numPr>
          <w:ilvl w:val="0"/>
          <w:numId w:val="7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隐含碳排放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可用实测值或欧盟公布的默认值。经中国钢铁全产业链 EPD 平台核算，欧盟默认值比中国实际排放值高出近1倍，且 2026—2028 年钢铁、水泥、铝、氢默认值还将逐年加价 10%、20%、30%——</w:t>
      </w:r>
      <w:r>
        <w:rPr>
          <w:rFonts w:ascii="宋体" w:hAnsi="Times New Roman" w:eastAsia="宋体"/>
          <w:b/>
          <w:i w:val="false"/>
          <w:color w:val="004347"/>
          <w:sz w:val="22"/>
        </w:rPr>
        <w:t>不提供实测数据，就按最不利口径多缴</w:t>
      </w:r>
    </w:p>
    <w:bookmarkEnd w:id="27"/>
    <w:bookmarkStart w:name="ua7f60128" w:id="28"/>
    <w:p>
      <w:pPr>
        <w:numPr>
          <w:ilvl w:val="0"/>
          <w:numId w:val="8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证书价格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与欧盟碳市场（EU ETS）配额拍卖价联动，近年约 71~75 欧元/吨 CO₂ 且呈上涨趋势</w:t>
      </w:r>
    </w:p>
    <w:bookmarkEnd w:id="28"/>
    <w:bookmarkStart w:name="u1960d7cc" w:id="29"/>
    <w:p>
      <w:pPr>
        <w:numPr>
          <w:ilvl w:val="0"/>
          <w:numId w:val="9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抵扣项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：原产国已实际支付的碳价（如国内碳市场履约成本）可抵扣，凭证须可核查</w:t>
      </w:r>
    </w:p>
    <w:bookmarkEnd w:id="29"/>
    <w:bookmarkStart w:name="u1f68b1b9" w:id="30"/>
    <w:p>
      <w:pPr>
        <w:spacing w:after="50" w:line="360" w:lineRule="auto" w:beforeLines="100"/>
        <w:ind w:left="0"/>
        <w:jc w:val="left"/>
      </w:pPr>
      <w:bookmarkStart w:name="u38ca1d31" w:id="31"/>
      <w:r>
        <w:rPr>
          <w:rFonts w:eastAsia="宋体" w:ascii="宋体"/>
        </w:rPr>
        <w:drawing>
          <wp:inline distT="0" distB="0" distL="0" distR="0">
            <wp:extent cx="5842000" cy="137285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238133" cy="405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1"/>
    </w:p>
    <w:bookmarkEnd w:id="30"/>
    <w:bookmarkStart w:name="u96e8eb99" w:id="32"/>
    <w:p>
      <w:pPr>
        <w:numPr>
          <w:ilvl w:val="0"/>
          <w:numId w:val="10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确认产品是否在 CBAM 税则号内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（TARIC 数据库可查）</w:t>
      </w:r>
    </w:p>
    <w:bookmarkEnd w:id="32"/>
    <w:bookmarkStart w:name="u4713902e" w:id="33"/>
    <w:p>
      <w:pPr>
        <w:numPr>
          <w:ilvl w:val="0"/>
          <w:numId w:val="1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建立产品碳核算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按直接排放（生产过程）+ 间接排放（外购电力）分口径核算吨产品隐含排放</w:t>
      </w:r>
    </w:p>
    <w:bookmarkEnd w:id="33"/>
    <w:bookmarkStart w:name="u89f08e35" w:id="34"/>
    <w:p>
      <w:pPr>
        <w:numPr>
          <w:ilvl w:val="0"/>
          <w:numId w:val="1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委托核查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准备经核查的排放数据报告（2026年9月起核查机构须在欧盟成员国注册）</w:t>
      </w:r>
    </w:p>
    <w:bookmarkEnd w:id="34"/>
    <w:bookmarkStart w:name="uae60e89e" w:id="35"/>
    <w:p>
      <w:pPr>
        <w:numPr>
          <w:ilvl w:val="0"/>
          <w:numId w:val="1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向进口商交付数据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隐含排放量、核查报告、国内已付碳价证明</w:t>
      </w:r>
    </w:p>
    <w:bookmarkEnd w:id="35"/>
    <w:bookmarkStart w:name="ubce71630" w:id="36"/>
    <w:p>
      <w:pPr>
        <w:numPr>
          <w:ilvl w:val="0"/>
          <w:numId w:val="1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留存证据链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数据口径、边界、来源需全程可追溯，应对欧方复核</w:t>
      </w:r>
    </w:p>
    <w:bookmarkEnd w:id="36"/>
    <w:bookmarkStart w:name="u54b5dcba" w:id="37"/>
    <w:p>
      <w:pPr>
        <w:spacing w:after="50" w:line="360" w:lineRule="auto" w:beforeLines="100"/>
        <w:ind w:left="0"/>
        <w:jc w:val="left"/>
      </w:pPr>
      <w:bookmarkStart w:name="uf973dad0" w:id="38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8"/>
    </w:p>
    <w:bookmarkEnd w:id="37"/>
    <w:bookmarkStart w:name="ud68647aa" w:id="39"/>
    <w:p>
      <w:pPr>
        <w:spacing w:after="50" w:line="360" w:lineRule="auto" w:beforeLines="100"/>
        <w:ind w:left="0"/>
        <w:jc w:val="left"/>
      </w:pPr>
      <w:bookmarkStart w:name="u5b7fcd3c" w:id="40"/>
      <w:r>
        <w:rPr>
          <w:rFonts w:eastAsia="宋体" w:ascii="宋体"/>
        </w:rPr>
        <w:drawing>
          <wp:inline distT="0" distB="0" distL="0" distR="0">
            <wp:extent cx="5842000" cy="1302756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492133" cy="3900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0"/>
    </w:p>
    <w:bookmarkEnd w:id="39"/>
    <w:bookmarkStart w:name="u644e278c" w:id="4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现阶段（2026年）影响集中于六大行业直接出口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2025年 CBAM 六类产品仅占中国对欧盟出口总值的约 1.6%（钢铁0.8%、铝0.7%、化肥0.1%），涉税钢铁及制品合计约1052万吨；有研究估算 2025 年 CBAM 带来的成本约14亿美元，占对欧出口总值约0.3%——短期可控。</w:t>
      </w:r>
    </w:p>
    <w:bookmarkEnd w:id="41"/>
    <w:bookmarkStart w:name="uc627fbb0" w:id="42"/>
    <w:p>
      <w:pPr>
        <w:spacing w:after="50" w:line="360" w:lineRule="auto" w:beforeLines="100"/>
        <w:ind w:left="0"/>
        <w:jc w:val="left"/>
      </w:pPr>
      <w:bookmarkStart w:name="u33780c60" w:id="43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3"/>
    </w:p>
    <w:bookmarkEnd w:id="42"/>
    <w:bookmarkStart w:name="uc85e31fd" w:id="4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真正的大头在2028年扩围后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钢铝密集型下游产品纳入后，2025年我国对欧出口扩围产品货值约</w:t>
      </w:r>
      <w:r>
        <w:rPr>
          <w:rFonts w:ascii="宋体" w:hAnsi="Times New Roman" w:eastAsia="宋体"/>
          <w:b/>
          <w:i w:val="false"/>
          <w:color w:val="004347"/>
          <w:sz w:val="22"/>
        </w:rPr>
        <w:t>211亿欧元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（含钢量约500万吨），按默认值测算需缴碳费约15亿欧元，</w:t>
      </w:r>
      <w:r>
        <w:rPr>
          <w:rFonts w:ascii="宋体" w:hAnsi="Times New Roman" w:eastAsia="宋体"/>
          <w:b/>
          <w:i w:val="false"/>
          <w:color w:val="004347"/>
          <w:sz w:val="22"/>
        </w:rPr>
        <w:t>相当于货值的7%左右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—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—而我国工业平均销售利润率仅约6%，成本压力直接可见。机械、金属制品、钢结构、汽车零部件、家电是受影响最大的品类。</w:t>
      </w:r>
    </w:p>
    <w:bookmarkEnd w:id="44"/>
    <w:bookmarkStart w:name="u83df5ab2" w:id="45"/>
    <w:p>
      <w:pPr>
        <w:spacing w:after="50" w:line="360" w:lineRule="auto" w:beforeLines="100"/>
        <w:ind w:left="0"/>
        <w:jc w:val="left"/>
      </w:pPr>
      <w:bookmarkStart w:name="u6a7df847" w:id="46"/>
      <w:r>
        <w:rPr>
          <w:rFonts w:eastAsia="宋体" w:ascii="宋体"/>
        </w:rPr>
        <w:drawing>
          <wp:inline distT="0" distB="0" distL="0" distR="0">
            <wp:extent cx="5841999" cy="126185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458267" cy="377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6"/>
    </w:p>
    <w:bookmarkEnd w:id="45"/>
    <w:bookmarkStart w:name="u0ca740db" w:id="47"/>
    <w:p>
      <w:pPr>
        <w:numPr>
          <w:ilvl w:val="0"/>
          <w:numId w:val="15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摸清家底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优先完成出口产品的碳核算实测，坚决避免被动接受高出实际值近1倍的欧盟默认值</w:t>
      </w:r>
    </w:p>
    <w:bookmarkEnd w:id="47"/>
    <w:bookmarkStart w:name="uff309398" w:id="48"/>
    <w:p>
      <w:pPr>
        <w:numPr>
          <w:ilvl w:val="0"/>
          <w:numId w:val="16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数据合规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建立符合国际核查要求的碳排放数据管理体系，确保口径可审计、来源可追溯</w:t>
      </w:r>
    </w:p>
    <w:bookmarkEnd w:id="48"/>
    <w:bookmarkStart w:name="u5841638a" w:id="49"/>
    <w:p>
      <w:pPr>
        <w:numPr>
          <w:ilvl w:val="0"/>
          <w:numId w:val="17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绿电替代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外购电力的间接排放是铝、水泥、化肥等品类的重要成本项——采购可溯源绿电可直接压低隐含排放</w:t>
      </w:r>
    </w:p>
    <w:bookmarkEnd w:id="49"/>
    <w:bookmarkStart w:name="ub86a6d6f" w:id="50"/>
    <w:p>
      <w:pPr>
        <w:spacing w:after="50" w:line="360" w:lineRule="auto" w:beforeLines="100"/>
        <w:ind w:left="0"/>
        <w:jc w:val="left"/>
      </w:pPr>
      <w:bookmarkStart w:name="u3fcfe9a5" w:id="51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1"/>
    </w:p>
    <w:bookmarkEnd w:id="50"/>
    <w:bookmarkStart w:name="u1f4ab4f6" w:id="52"/>
    <w:p>
      <w:pPr>
        <w:numPr>
          <w:ilvl w:val="0"/>
          <w:numId w:val="18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小时级绿电溯源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：CBAM 及欧盟新规对绿电凭证要求带时间戳、可核验，年度绿证不足以匹配，小时级发电—用电匹配才是拿到低碳电力证明的关键</w:t>
      </w:r>
    </w:p>
    <w:bookmarkEnd w:id="52"/>
    <w:bookmarkStart w:name="uc1556eca" w:id="53"/>
    <w:p>
      <w:pPr>
        <w:numPr>
          <w:ilvl w:val="0"/>
          <w:numId w:val="19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产品碳足迹护照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为出口产品建立全流程碳足迹档案，同时应对 CBAM 与下游客户的供应链碳中和要求，守住绿色溢价</w:t>
      </w:r>
    </w:p>
    <w:bookmarkEnd w:id="53"/>
    <w:bookmarkStart w:name="u8dc3e7f3" w:id="54"/>
    <w:p>
      <w:pPr>
        <w:spacing w:after="50" w:line="360" w:lineRule="auto" w:beforeLines="100"/>
        <w:ind w:left="0"/>
        <w:jc w:val="left"/>
      </w:pPr>
      <w:bookmarkStart w:name="u2b2bb237" w:id="55"/>
      <w:r>
        <w:rPr>
          <w:rFonts w:eastAsia="宋体" w:ascii="宋体"/>
        </w:rPr>
        <w:drawing>
          <wp:inline distT="0" distB="0" distL="0" distR="0">
            <wp:extent cx="5842000" cy="136702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0" cy="4101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5"/>
    </w:p>
    <w:bookmarkEnd w:id="54"/>
    <w:bookmarkStart w:name="ue7b181b2" w:id="5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CBAM 的本质是把碳排放变成出口贸易的</w:t>
      </w:r>
      <w:r>
        <w:rPr>
          <w:rFonts w:ascii="宋体" w:hAnsi="Times New Roman" w:eastAsia="宋体"/>
          <w:b/>
          <w:i w:val="false"/>
          <w:color w:val="004347"/>
          <w:sz w:val="22"/>
        </w:rPr>
        <w:t>“第二关税”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。对出口制造企业而言，2026—2027 年是成本真正落地的窗口期，越早完成实测碳数据、绿电溯源与碳足迹体系建设，越能在扩围前把 7% 的成本风险转化为对同行的绿色竞争优势。轨物科技零碳园区能碳管理平台提供小时级绿电溯源、产品碳足迹护照与 CBAM 申报数据支撑能力，助力出口企业“</w:t>
      </w:r>
      <w:r>
        <w:rPr>
          <w:rFonts w:ascii="宋体" w:hAnsi="Times New Roman" w:eastAsia="宋体"/>
          <w:b/>
          <w:i w:val="false"/>
          <w:color w:val="004347"/>
          <w:sz w:val="22"/>
        </w:rPr>
        <w:t>过 CBAM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”。</w:t>
      </w:r>
    </w:p>
    <w:bookmarkEnd w:id="56"/>
    <w:bookmarkStart w:name="u70c7e6ad" w:id="57"/>
    <w:p>
      <w:pPr>
        <w:spacing w:after="50" w:line="360" w:lineRule="auto" w:beforeLines="100"/>
        <w:ind w:left="0"/>
        <w:jc w:val="left"/>
      </w:pPr>
      <w:bookmarkStart w:name="u2461325a" w:id="58"/>
      <w:r>
        <w:rPr>
          <w:rFonts w:eastAsia="宋体" w:ascii="宋体"/>
        </w:rPr>
        <w:drawing>
          <wp:inline distT="0" distB="0" distL="0" distR="0">
            <wp:extent cx="5842000" cy="438144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951200" cy="1196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8"/>
    </w:p>
    <w:bookmarkEnd w:id="57"/>
    <w:bookmarkStart w:name="u0f7d14f0" w:id="5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信息来源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欧盟 Regulation (EU) 2023/956 及 2025/2083 修订条例、商务部世贸司合规指南、中国钢铁工业协会测算数据、浙江省经济信息中心分析、CSIS 报告。</w:t>
      </w:r>
    </w:p>
    <w:bookmarkEnd w:id="59"/>
    <w:bookmarkStart w:name="u7e679da1" w:id="60"/>
    <w:p>
      <w:pPr>
        <w:spacing w:after="50" w:line="360" w:lineRule="auto" w:beforeLines="100"/>
        <w:ind w:left="0"/>
        <w:jc w:val="left"/>
      </w:pPr>
      <w:bookmarkStart w:name="HF6a8" w:id="61"/>
      <w:r>
        <w:rPr>
          <w:rFonts w:eastAsia="宋体" w:ascii="宋体"/>
        </w:rPr>
        <w:drawing>
          <wp:inline distT="0" distB="0" distL="0" distR="0">
            <wp:extent cx="5842000" cy="16181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215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1"/>
    </w:p>
    <w:bookmarkEnd w:id="60"/>
    <w:bookmarkStart w:name="u8d2b3d07" w:id="62"/>
    <w:p>
      <w:pPr>
        <w:spacing w:after="50" w:line="360" w:lineRule="auto" w:beforeLines="100"/>
        <w:ind w:left="0"/>
        <w:jc w:val="left"/>
      </w:pPr>
      <w:bookmarkStart w:name="ue00a6830" w:id="63"/>
      <w:r>
        <w:rPr>
          <w:rFonts w:eastAsia="宋体" w:ascii="宋体"/>
        </w:rPr>
        <w:drawing>
          <wp:inline distT="0" distB="0" distL="0" distR="0">
            <wp:extent cx="5842000" cy="800938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0" cy="282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3"/>
    </w:p>
    <w:bookmarkEnd w:id="62"/>
    <w:bookmarkStart w:name="ubd68c99d" w:id="64"/>
    <w:p>
      <w:pPr>
        <w:spacing w:after="50" w:line="360" w:lineRule="auto" w:beforeLines="100"/>
        <w:ind w:left="0"/>
        <w:jc w:val="left"/>
      </w:pPr>
      <w:bookmarkStart w:name="pdHGx" w:id="65"/>
      <w:r>
        <w:rPr>
          <w:rFonts w:eastAsia="宋体" w:ascii="宋体"/>
        </w:rPr>
        <w:drawing>
          <wp:inline distT="0" distB="0" distL="0" distR="0">
            <wp:extent cx="5841999" cy="47903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5"/>
    </w:p>
    <w:bookmarkEnd w:id="64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7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8">
    <w:multiLevelType w:val="multilevel"/>
    <w:lvl w:ilvl="0">
      <w:start w:val="2"/>
      <w:numFmt w:val="decimal"/>
      <w:lvlText w:val="%1."/>
      <w:lvlJc w:val="left"/>
      <w:pPr>
        <w:ind w:left="960" w:hanging="360"/>
      </w:pPr>
    </w:lvl>
  </w:abstractNum>
  <w:abstractNum w:abstractNumId="9">
    <w:multiLevelType w:val="multilevel"/>
    <w:lvl w:ilvl="0">
      <w:start w:val="3"/>
      <w:numFmt w:val="decimal"/>
      <w:lvlText w:val="%1."/>
      <w:lvlJc w:val="left"/>
      <w:pPr>
        <w:ind w:left="960" w:hanging="360"/>
      </w:pPr>
    </w:lvl>
  </w:abstractNum>
  <w:abstractNum w:abstractNumId="10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11">
    <w:multiLevelType w:val="multilevel"/>
    <w:lvl w:ilvl="0">
      <w:start w:val="2"/>
      <w:numFmt w:val="decimal"/>
      <w:lvlText w:val="%1."/>
      <w:lvlJc w:val="left"/>
      <w:pPr>
        <w:ind w:left="960" w:hanging="360"/>
      </w:pPr>
    </w:lvl>
  </w:abstractNum>
  <w:abstractNum w:abstractNumId="12">
    <w:multiLevelType w:val="multilevel"/>
    <w:lvl w:ilvl="0">
      <w:start w:val="3"/>
      <w:numFmt w:val="decimal"/>
      <w:lvlText w:val="%1."/>
      <w:lvlJc w:val="left"/>
      <w:pPr>
        <w:ind w:left="960" w:hanging="360"/>
      </w:pPr>
    </w:lvl>
  </w:abstractNum>
  <w:abstractNum w:abstractNumId="13">
    <w:multiLevelType w:val="multilevel"/>
    <w:lvl w:ilvl="0">
      <w:start w:val="4"/>
      <w:numFmt w:val="decimal"/>
      <w:lvlText w:val="%1."/>
      <w:lvlJc w:val="left"/>
      <w:pPr>
        <w:ind w:left="960" w:hanging="360"/>
      </w:pPr>
    </w:lvl>
  </w:abstractNum>
  <w:abstractNum w:abstractNumId="14">
    <w:multiLevelType w:val="multilevel"/>
    <w:lvl w:ilvl="0">
      <w:start w:val="5"/>
      <w:numFmt w:val="decimal"/>
      <w:lvlText w:val="%1."/>
      <w:lvlJc w:val="left"/>
      <w:pPr>
        <w:ind w:left="960" w:hanging="360"/>
      </w:pPr>
    </w:lvl>
  </w:abstractNum>
  <w:abstractNum w:abstractNumId="15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16">
    <w:multiLevelType w:val="multilevel"/>
    <w:lvl w:ilvl="0">
      <w:start w:val="2"/>
      <w:numFmt w:val="decimal"/>
      <w:lvlText w:val="%1."/>
      <w:lvlJc w:val="left"/>
      <w:pPr>
        <w:ind w:left="960" w:hanging="360"/>
      </w:pPr>
    </w:lvl>
  </w:abstractNum>
  <w:abstractNum w:abstractNumId="17">
    <w:multiLevelType w:val="multilevel"/>
    <w:lvl w:ilvl="0">
      <w:start w:val="3"/>
      <w:numFmt w:val="decimal"/>
      <w:lvlText w:val="%1."/>
      <w:lvlJc w:val="left"/>
      <w:pPr>
        <w:ind w:left="960" w:hanging="360"/>
      </w:pPr>
    </w:lvl>
  </w:abstractNum>
  <w:abstractNum w:abstractNumId="18">
    <w:multiLevelType w:val="multilevel"/>
    <w:lvl w:ilvl="0">
      <w:start w:val="4"/>
      <w:numFmt w:val="decimal"/>
      <w:lvlText w:val="%1."/>
      <w:lvlJc w:val="left"/>
      <w:pPr>
        <w:ind w:left="960" w:hanging="360"/>
      </w:pPr>
    </w:lvl>
  </w:abstractNum>
  <w:abstractNum w:abstractNumId="19">
    <w:multiLevelType w:val="multilevel"/>
    <w:lvl w:ilvl="0">
      <w:start w:val="5"/>
      <w:numFmt w:val="decimal"/>
      <w:lvlText w:val="%1."/>
      <w:lvlJc w:val="left"/>
      <w:pPr>
        <w:ind w:left="9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15" Target="media/document_image_rId15.png" Type="http://schemas.openxmlformats.org/officeDocument/2006/relationships/image"/><Relationship Id="rId16" Target="media/document_image_rId16.png" Type="http://schemas.openxmlformats.org/officeDocument/2006/relationships/image"/><Relationship Id="rId17" Target="media/document_image_rId17.png" Type="http://schemas.openxmlformats.org/officeDocument/2006/relationships/image"/><Relationship Id="rId18" Target="media/document_image_rId18.png" Type="http://schemas.openxmlformats.org/officeDocument/2006/relationships/image"/><Relationship Id="rId19" Target="media/document_image_rId19.png" Type="http://schemas.openxmlformats.org/officeDocument/2006/relationships/image"/><Relationship Id="rId2" Target="settings.xml" Type="http://schemas.openxmlformats.org/officeDocument/2006/relationships/settings"/><Relationship Id="rId20" Target="media/document_image_rId20.png" Type="http://schemas.openxmlformats.org/officeDocument/2006/relationships/image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