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常见问题（FAQ）知识库文档（商务合作与购买指南）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tPOMD" w:id="0"/>
      <w:r>
        <w:rPr>
          <w:rFonts w:ascii="宋体" w:hAnsi="Times New Roman" w:eastAsia="宋体"/>
        </w:rPr>
        <w:t>Q1：轨物科技是一家什么样的公司？主要做哪些业务？</w:t>
      </w:r>
    </w:p>
    <w:bookmarkEnd w:id="0"/>
    <w:bookmarkStart w:name="u255526c6" w:id="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科技自成立以来，始终秉持"以技术创新驱动制造业智能化升级"的使命，深耕工业智能化领域，已发展为以新能源、电力运维为核心的软硬件整体解决方案提供商。公司构筑了覆盖自研传感器、边缘嵌入式系统、多模态数据处理及 AI Agent（智能体）等核心的全栈技术体系，为电站业主、园区管委会、设备制造厂家、综合能源服务商提供从感知到决策的完整解决方案。业务覆盖两大产品主线：一是能源与电力数字化——零碳园区微电网能碳管理平台、微电网 EMS、配电/储能智能化、节能减排智能监测、光伏清洁机器人与组件缺陷检测；二是 AI 企业效率工具——AI 智能标书与投标管理平台。</w:t>
      </w:r>
    </w:p>
    <w:bookmarkEnd w:id="1"/>
    <w:bookmarkStart w:name="wKGkU" w:id="2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Q2：轨物科技提供哪几种合作模式？</w:t>
      </w:r>
    </w:p>
    <w:bookmarkEnd w:id="2"/>
    <w:bookmarkStart w:name="u5e58da79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根据客户类型不同，主要有五种合作模式：</w:t>
      </w:r>
    </w:p>
    <w:bookmarkEnd w:id="3"/>
    <w:bookmarkStart w:name="ez4iN" w:id="4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605"/>
        <w:gridCol w:w="4514"/>
        <w:gridCol w:w="4515"/>
      </w:tblGrid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04d48bb" w:id="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合作模式</w:t>
            </w:r>
          </w:p>
          <w:bookmarkEnd w:id="5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975c8ca" w:id="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适合对象</w:t>
            </w:r>
          </w:p>
          <w:bookmarkEnd w:id="6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02f4b14" w:id="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说明</w:t>
            </w:r>
          </w:p>
          <w:bookmarkEnd w:id="7"/>
        </w:tc>
      </w:tr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666a472" w:id="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整机/系统采购</w:t>
            </w:r>
          </w:p>
          <w:bookmarkEnd w:id="8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2f862d0" w:id="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电站业主、园区、热力公司、水务集团等终端客户</w:t>
            </w:r>
          </w:p>
          <w:bookmarkEnd w:id="9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7ecf65c" w:id="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直接采购硬件设备或整体解决方案</w:t>
            </w:r>
          </w:p>
          <w:bookmarkEnd w:id="10"/>
        </w:tc>
      </w:tr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f42dfbd" w:id="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项目制交付</w:t>
            </w:r>
          </w:p>
          <w:bookmarkEnd w:id="11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f39b689" w:id="1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有定制化需求的政企客户</w:t>
            </w:r>
          </w:p>
          <w:bookmarkEnd w:id="12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d6aa707" w:id="1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含方案设计、设备供应、平台部署、联调验收的全流程交付</w:t>
            </w:r>
          </w:p>
          <w:bookmarkEnd w:id="13"/>
        </w:tc>
      </w:tr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b01e62e" w:id="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PCBA 模组嵌入</w:t>
            </w:r>
          </w:p>
          <w:bookmarkEnd w:id="14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ba958db" w:id="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开关柜、环网柜、断路器等设备制造厂</w:t>
            </w:r>
          </w:p>
          <w:bookmarkEnd w:id="15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f830a0b" w:id="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将轨物已验证的功能模组以电路板形式嵌入设备厂产品，出厂即具备数字化能力</w:t>
            </w:r>
          </w:p>
          <w:bookmarkEnd w:id="16"/>
        </w:tc>
      </w:tr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e8c2524" w:id="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渠道/集成商合作</w:t>
            </w:r>
          </w:p>
          <w:bookmarkEnd w:id="17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27e7970" w:id="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系统集成商、区域代理商</w:t>
            </w:r>
          </w:p>
          <w:bookmarkEnd w:id="18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c061fc8" w:id="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轨物提供产品、技术支持与培训，伙伴负责区域市场拓展【请确认：渠道政策细节】</w:t>
            </w:r>
          </w:p>
          <w:bookmarkEnd w:id="19"/>
        </w:tc>
      </w:tr>
      <w:tr>
        <w:trPr>
          <w:trHeight w:val="495" w:hRule="atLeast"/>
        </w:trPr>
        <w:tc>
          <w:tcPr>
            <w:tcW w:w="460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8090991" w:id="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能源托管（EMC）协同</w:t>
            </w:r>
          </w:p>
          <w:bookmarkEnd w:id="20"/>
        </w:tc>
        <w:tc>
          <w:tcPr>
            <w:tcW w:w="451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aaf2e3e" w:id="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能源托管运营服务商</w:t>
            </w:r>
          </w:p>
          <w:bookmarkEnd w:id="21"/>
        </w:tc>
        <w:tc>
          <w:tcPr>
            <w:tcW w:w="451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31a62f3" w:id="2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平台作为托管业务的数字化底座，输出能碳核算、调度优化与结算管理能力</w:t>
            </w:r>
          </w:p>
          <w:bookmarkEnd w:id="22"/>
        </w:tc>
      </w:tr>
    </w:tbl>
    <w:bookmarkEnd w:id="4"/>
    <w:bookmarkStart w:name="TiUFv" w:id="2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Q3：设备厂想做 PCBA 模组嵌入合作，流程是怎样的？</w:t>
      </w:r>
    </w:p>
    <w:bookmarkEnd w:id="23"/>
    <w:bookmarkStart w:name="uc51a2826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整体分为四步：①需求沟通——明确设备类型、拟嵌入的功能模块（一键顺控、机械特性监测、无线测温、低压综保等）与接口条件；②方案评估——轨物输出模组选型与集成适配方案，通常 2 到 4 周完成集成适配；③联调测试——提供样机模组，配合完成接口联调与整机验证；④量产跟线——批量供货并持续提供固件升级、协议适配等技术支持。选择模组嵌入无需组建 IoT 软件团队，无需自建云平台，与自研方案相比可节省 18 到 24 个月的研发周期。</w:t>
      </w:r>
    </w:p>
    <w:bookmarkEnd w:id="24"/>
    <w:bookmarkStart w:name="j2fME" w:id="2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Q4：是否招代理商和系统集成商？有哪些支持政策？</w:t>
      </w:r>
    </w:p>
    <w:bookmarkEnd w:id="25"/>
    <w:bookmarkStart w:name="uc93e45e1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欢迎有电力、能源、工业客户资源的集成商与区域伙伴加入。轨物为渠道伙伴提供：产品与技术培训、项目售前支持（方案设计、投标技术支持）、项目实施陪同与售后兜底服务。【请确认：是否设置区域保护、返点政策、合作伙伴准入条件（如年度任务额、技术人员要求）】</w:t>
      </w:r>
    </w:p>
    <w:bookmarkEnd w:id="26"/>
    <w:bookmarkStart w:name="z8xg9" w:id="2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Q5：可以申请样机或 POC 试点吗？怎么申请？</w:t>
      </w:r>
    </w:p>
    <w:bookmarkEnd w:id="27"/>
    <w:bookmarkStart w:name="ud3815225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可以。针对有明确项目意向的客户，轨物支持两种验证方式：一是样机试用——适用于 PLC 数据采集网关、无线测温、清洁机器人控制器等标准产品，可先申请单台/小批量样机在现场验证；二是 POC 试点——适用于 EMS、能碳管理平台等平台型产品，可选取单个换热站、单面开关柜或一个园区子区域做小范围试点，验证效果后再扩大部署。申请方式：通过官网提交需求或直接联系商务，说明应用场景、设备现状与验证目标，商务会在工作日内与您对接评估。【请确认：样机是否收费/押金、POC 周期与费用承担方式】</w:t>
      </w:r>
    </w:p>
    <w:bookmarkEnd w:id="28"/>
    <w:bookmarkStart w:name="PicrY" w:id="2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Q6：如何获取正式报价？需要提前准备哪些信息？</w:t>
      </w:r>
    </w:p>
    <w:bookmarkEnd w:id="29"/>
    <w:bookmarkStart w:name="u1233514b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为提高报价效率，建议在询价时提供以下信息：①应用场景（如开关柜智能化改造、换热站监测、园区光储调度）；②设备规模与清单（如开关柜数量与电压等级、监测点位数、光伏/储能容量）；③现场条件（是否有通讯接口、是否可停电施工、网络覆盖情况）；④期望的部署方式（公有云/私有化）。信息齐全的情况下，标准产品的报价通常可在几个工作日内给出；整体解决方案报价需要技术方案评估后提供。【请确认：标准报价响应时限】</w:t>
      </w:r>
    </w:p>
    <w:bookmarkEnd w:id="30"/>
    <w:bookmarkStart w:name="qRqwy" w:id="3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Q7：从下单到交付一般需要多久？</w:t>
      </w:r>
    </w:p>
    <w:bookmarkEnd w:id="31"/>
    <w:bookmarkStart w:name="uce5667a7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不同产品线的交付周期有差异：【请确认以下数字】标准硬件产品（PLC 采集网关、无线测温、电流检测仪等）常规库存条件下通常 1</w:t>
      </w:r>
      <w:r>
        <w:rPr>
          <w:rFonts w:ascii="宋体" w:hAnsi="Times New Roman" w:eastAsia="宋体"/>
          <w:b w:val="false"/>
          <w:i w:val="false"/>
          <w:color w:val="000000"/>
        </w:rPr>
        <w:t>2 周内发货；开关柜智能化模组、一键顺控装置等根据配置下生产，一般 2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4 周；EMS/能碳平台等软件项目按项目制交付，含部署联调的整体周期视现场规模确定，通常在合同中明确里程碑计划。紧急需求可单独沟通排产。</w:t>
      </w:r>
    </w:p>
    <w:bookmarkEnd w:id="32"/>
    <w:bookmarkStart w:name="CsnRg" w:id="3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Q8：产品有最小起订量吗？接受小批量试用采购吗？</w:t>
      </w:r>
    </w:p>
    <w:bookmarkEnd w:id="33"/>
    <w:bookmarkStart w:name="u7a33921b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标准硬件产品不设最低起订量，支持单台起订，方便客户先行验证后再批量采购。PCBA 模组嵌入合作与定制类产品会根据型号确认起订量与 NRE（一次性工程）费用。【请确认：个别定制模组是否有 MOQ 要求】</w:t>
      </w:r>
    </w:p>
    <w:bookmarkEnd w:id="34"/>
    <w:bookmarkStart w:name="bHnUm" w:id="3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Q9：支持哪些付款方式？如何开票？</w:t>
      </w:r>
    </w:p>
    <w:bookmarkEnd w:id="35"/>
    <w:bookmarkStart w:name="u95070f78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支持对公转账付款，可开具增值税专用发票。标准产品订单通常采用"合同签订后预付、发货前结清"的常规商务条款；项目制合同按里程碑分期付款（如预付款、到货款、验收款、质保金）。【请确认：具体付款比例惯例、是否支持承兑、发票类型与税率】</w:t>
      </w:r>
    </w:p>
    <w:bookmarkEnd w:id="36"/>
    <w:bookmarkStart w:name="kBNd4" w:id="3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Q10：公司具备哪些资质？可以提供哪些证明文件？</w:t>
      </w:r>
    </w:p>
    <w:bookmarkEnd w:id="37"/>
    <w:bookmarkStart w:name="u6095af77" w:id="3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轨物科技可提供营业执照、开户许可等基础商务文件，以及产品相关的检测报告与校准证书（见 Q11）。【请确认：高新技术企业、ISO 9001/27001、软件著作权、专精特新等资质清单，发布时列全】</w:t>
      </w:r>
    </w:p>
    <w:bookmarkEnd w:id="38"/>
    <w:bookmarkStart w:name="hyAeg" w:id="3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Q11：产品有哪些认证和检测报告？</w:t>
      </w:r>
    </w:p>
    <w:bookmarkEnd w:id="39"/>
    <w:bookmarkStart w:name="u98314ded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轨物硬件产品按工业级标准设计与生产，可按需提供：【请确认实际持有的证书】产品检测报告（如电科院等第三方检测）、计量校准证书（涉及测温精度、电流精度的产品）、CE 认证（如涉及出口场景）。涉及并网、电力监控的项目，可配合客户完成当地电网公司的入网与验收要求。投标场景所需的全部资质文件可打包提供（见 Q12）。</w:t>
      </w:r>
    </w:p>
    <w:bookmarkEnd w:id="40"/>
    <w:bookmarkStart w:name="rWR6D" w:id="4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Q12：我们参与投标时，轨物能提供哪些支持文件？</w:t>
      </w:r>
    </w:p>
    <w:bookmarkEnd w:id="41"/>
    <w:bookmarkStart w:name="u84551542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针对集成商和客户投标场景，轨物可提供投标支持文件包，通常包括：营业执照复印件、产品检测报告、授权书（如为代理投标）、技术参数响应表、案例证明与业绩合同关键页（脱敏后）。需求明确后请提前联系商务，预留文件准备时间。【请确认：授权书申请流程与所需时长、业绩案例的脱敏口径】</w:t>
      </w:r>
    </w:p>
    <w:bookmarkEnd w:id="42"/>
    <w:bookmarkStart w:name="KKPww" w:id="4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Q13：合作过程中可以签署保密协议（NDA）吗？</w:t>
      </w:r>
    </w:p>
    <w:bookmarkEnd w:id="43"/>
    <w:bookmarkStart w:name="uc0d0b054" w:id="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可以。涉及项目方案、现场数据、设备参数或商业条款的沟通，均可在接触初期签署双向保密协议。平台类产品合作中，客户运行数据归属客户所有，轨物仅在提供服务所必需的范围内使用，具体以合同数据条款为准。</w:t>
      </w:r>
    </w:p>
    <w:bookmarkEnd w:id="44"/>
    <w:bookmarkStart w:name="qfwKP" w:id="4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Q14：产品质保期是多久？质保范围包括什么？</w:t>
      </w:r>
    </w:p>
    <w:bookmarkEnd w:id="45"/>
    <w:bookmarkStart w:name="u22f98485" w:id="4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轨物为全系列产品提供自验收合格之日起不少于 12 个月的整机质保【请确认：各产品线质保年限，硬件类产品常见为 12~24 个月】。质保期内非人为损坏的性能故障，提供免费维修或更换；核心传感器（如红外探测器、可见光摄像头、视觉处理板）在保修期内免费更换。人为损坏、不可抗力（雷击、水淹、极端灾害）及超范围使用导致的故障不属于免费质保范围，可提供付费维修。</w:t>
      </w:r>
    </w:p>
    <w:bookmarkEnd w:id="46"/>
    <w:bookmarkStart w:name="exQrV" w:id="4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Q15：售后服务的具体承诺（SLA）是什么？</w:t>
      </w:r>
    </w:p>
    <w:bookmarkEnd w:id="47"/>
    <w:bookmarkStart w:name="ufa6be264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远程支持覆盖设备上线调试、参数配置优化、故障远程诊断和固件升级，工作日内 2 小时响应；现场服务涵盖安装指导、首次数据联调、定期巡检保养和应急故障抢修；备件方面，传感器、网关、控制模组等常规备件 3 个工作日内发货。对供热等季节性强的场景，轨物在供热季开始前提供免费的设备健康检查服务。有 7×24 小时值守要求的重点客户，可在合同中约定增强级 SLA。【请确认：是否提供付费的 7×24 增强服务包、现场到场时限承诺】</w:t>
      </w:r>
    </w:p>
    <w:bookmarkEnd w:id="48"/>
    <w:bookmarkStart w:name="Zgey3" w:id="4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Q16：质保期结束后，运维服务怎么收费？</w:t>
      </w:r>
    </w:p>
    <w:bookmarkEnd w:id="49"/>
    <w:bookmarkStart w:name="u74001999" w:id="5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质保期满后可选择续签运维服务协议，服务内容可按需组合：远程监控与故障诊断、定期巡检、备件供应、平台维护与算法迭代等，费用按设备规模与服务等级报价。客户也可选择按次购买现场服务。【请确认：维保续费的大致计费方式（按设备台数/按项目金额百分比）】</w:t>
      </w:r>
    </w:p>
    <w:bookmarkEnd w:id="50"/>
    <w:bookmarkStart w:name="Irzf2" w:id="5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Q17：平台软件后续升级收费吗？</w:t>
      </w:r>
    </w:p>
    <w:bookmarkEnd w:id="51"/>
    <w:bookmarkStart w:name="ud4d6a69b" w:id="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软件功能升级与算法模型迭代对存量客户免费，所有接入平台的设备自动获取最新版本。专家诊断系统的故障知识库随新增现场数据持续优化，无需客户额外付费。涉及新增硬件点位扩容、新场景模块开通的，按扩容部分单独报价。</w:t>
      </w:r>
    </w:p>
    <w:bookmarkEnd w:id="52"/>
    <w:bookmarkStart w:name="AVR1h" w:id="5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Q18：支持私有化部署吗？有什么环境和硬件要求？</w:t>
      </w:r>
    </w:p>
    <w:bookmarkEnd w:id="53"/>
    <w:bookmarkStart w:name="u1c8f1b4f" w:id="5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支持。平台软件采用云原生微服务架构，支持公有云、私有云和混合云三种部署方式。私有化部署需要客户提供服务器资源与机房/云环境，具体配置根据接入设备规模评估（小型项目通常 2~3 台服务器即可起步）。私有化部署场景下，数据完整保留在客户环境中，轨物通过授权账号提供远程运维支持。【请确认：不同规模档位的服务器配置建议清单、是否支持国产数据库/中间件】</w:t>
      </w:r>
    </w:p>
    <w:bookmarkEnd w:id="54"/>
    <w:bookmarkStart w:name="f4h3Z" w:id="5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Q19：平台是否提供开放 API？数据归属和导出如何约定？</w:t>
      </w:r>
    </w:p>
    <w:bookmarkEnd w:id="55"/>
    <w:bookmarkStart w:name="uf9f5c93e" w:id="5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提供标准化 RESTful API 接口，支持向客户已有的 ERP、集团平台、政府监管平台推送数据，也支持从客户已有系统接入数据。客户通过平台产生的全部运行数据归客户所有，支持按 PDF/Excel 导出报表，私有化部署场景下数据库层面数据完整可导出。接口文档与联调支持在项目交付阶段提供。【请确认：API 文档是否可对签约客户提供、是否涉及接口费用】</w:t>
      </w:r>
    </w:p>
    <w:bookmarkEnd w:id="56"/>
    <w:bookmarkStart w:name="mCbBd" w:id="5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Q20：是否支持信创/国产化环境？</w:t>
      </w:r>
    </w:p>
    <w:bookmarkEnd w:id="57"/>
    <w:bookmarkStart w:name="ub22dad1a" w:id="5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平台软件基于云原生技术栈开发，可适配国产化部署环境【请确认：已适配的国产 CPU（鲲鹏/飞腾/海光等）、操作系统（麒麟/统信 UOS）、数据库的具体清单，如尚未完成适配建议表述为"适配工作可按项目评估推进"】。边缘硬件支持主流工业协议（Modbus/S7/IEC 61850/DL/T 645 等），可对接客户既有的国产 PLC 与监控系统。</w:t>
      </w:r>
    </w:p>
    <w:bookmarkEnd w:id="58"/>
    <w:bookmarkStart w:name="EiAj4" w:id="5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Q21：售前咨询怎么联系？对接流程是怎样的？</w:t>
      </w:r>
    </w:p>
    <w:bookmarkEnd w:id="59"/>
    <w:bookmarkStart w:name="ubbc7972e" w:id="6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可通过官网（</w:t>
      </w:r>
      <w:hyperlink r:id="rId4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/>
        </w:r>
        <w:r>
          <w:rPr>
            <w:rFonts w:ascii="宋体" w:hAnsi="Times New Roman" w:eastAsia="宋体"/>
            <w:b w:val="false"/>
            <w:i w:val="false"/>
            <w:color w:val="0000ff"/>
            <w:sz w:val="22"/>
          </w:rPr>
          <w:t>www.thingcom.com）提交需求或拨打商务联系方式【请确认：统一商务电话/邮箱/企微二维码】。标准对接流程为：需求沟通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→ 场景评估与方案建议 → （样机/POC 验证，可选）→ 正式报价与合同 → 交付实施 → 验收与售后。工作日内会有专人响应。</w:t>
      </w:r>
    </w:p>
    <w:bookmarkEnd w:id="60"/>
    <w:bookmarkStart w:name="u705c9db9" w:id="61"/>
    <w:bookmarkEnd w:id="6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http://www.thingcom.com&#65289;&#25552;&#20132;&#38656;&#27714;&#25110;&#25320;&#25171;&#21830;&#21153;&#32852;&#31995;&#26041;&#24335;&#12304;&#35831;&#30830;&#35748;&#65306;&#32479;&#19968;&#21830;&#21153;&#30005;&#35805;/&#37038;&#31665;/&#20225;&#24494;&#20108;&#32500;&#30721;&#12305;&#12290;&#26631;&#20934;&#23545;&#25509;&#27969;&#31243;&#20026;&#65306;&#38656;&#27714;&#27807;&#36890;" TargetMode="External" Type="http://schemas.openxmlformats.org/officeDocument/2006/relationships/hyperlink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