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image/png" PartName="/word/media/document_image_rId21.png"/>
  <Override ContentType="image/png" PartName="/word/media/document_image_rId22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【轨物方案】零碳园区微电网能碳管理平台：一套方案的七个技术决策</w:t>
      </w:r>
    </w:p>
    <w:p>
      <w:pPr>
        <w:spacing w:after="50" w:line="360" w:lineRule="auto" w:beforeLines="100"/>
        <w:ind w:left="0"/>
        <w:jc w:val="left"/>
      </w:pPr>
      <w:bookmarkStart w:name="u5f2b02ff" w:id="0"/>
      <w:bookmarkStart w:name="ue92a9310" w:id="1"/>
      <w:r>
        <w:rPr>
          <w:rFonts w:eastAsia="宋体" w:ascii="宋体"/>
        </w:rPr>
        <w:drawing>
          <wp:inline distT="0" distB="0" distL="0" distR="0">
            <wp:extent cx="5841999" cy="37972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64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bookmarkEnd w:id="0"/>
    <w:bookmarkStart w:name="u1584bd47" w:id="2"/>
    <w:p>
      <w:pPr>
        <w:spacing w:after="50" w:line="360" w:lineRule="auto" w:beforeLines="100"/>
        <w:ind w:left="0"/>
        <w:jc w:val="left"/>
      </w:pPr>
      <w:bookmarkStart w:name="u402e2ee8" w:id="3"/>
      <w:r>
        <w:rPr>
          <w:rFonts w:eastAsia="宋体" w:ascii="宋体"/>
        </w:rPr>
        <w:drawing>
          <wp:inline distT="0" distB="0" distL="0" distR="0">
            <wp:extent cx="5842000" cy="13085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3929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"/>
    </w:p>
    <w:bookmarkEnd w:id="2"/>
    <w:bookmarkStart w:name="u0b19fb46" w:id="4"/>
    <w:p>
      <w:pPr>
        <w:spacing w:after="50" w:line="360" w:lineRule="auto" w:beforeLines="100"/>
        <w:ind w:left="0"/>
        <w:jc w:val="both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多数平台方案的起点是“对接现有系统”，轨物把起点放在了物理世界。方案以全栈自研传感器与MGC200/G100/G200 系列边缘网关构成感知底座，对光伏逆变器、储能 PCS、风机、充电桩、电水气热计量做源头直采，多协议统一收口（Modbus/BACnet/OPC-UA/MQTT/DL/T 645 等），接入完整率≥98%。</w:t>
      </w:r>
    </w:p>
    <w:bookmarkEnd w:id="4"/>
    <w:bookmarkStart w:name="u528a4e9e" w:id="5"/>
    <w:p>
      <w:pPr>
        <w:spacing w:after="50" w:line="360" w:lineRule="auto" w:beforeLines="100"/>
        <w:ind w:left="0"/>
        <w:jc w:val="both"/>
      </w:pPr>
      <w:bookmarkStart w:name="u8865025c" w:id="6"/>
      <w:r>
        <w:rPr>
          <w:rFonts w:eastAsia="宋体" w:ascii="宋体"/>
        </w:rPr>
        <w:drawing>
          <wp:inline distT="0" distB="0" distL="0" distR="0">
            <wp:extent cx="5842000" cy="438117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975600" cy="59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"/>
    </w:p>
    <w:bookmarkEnd w:id="5"/>
    <w:bookmarkStart w:name="ua56f20ef" w:id="7"/>
    <w:p>
      <w:pPr>
        <w:spacing w:after="50" w:line="360" w:lineRule="auto" w:beforeLines="100"/>
        <w:ind w:left="0"/>
        <w:jc w:val="both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这个决策的成本是显著的——自研硬件意味着更长的交付链路。但它换来的是碳数据领域最稀缺的东西：</w:t>
      </w:r>
      <w:r>
        <w:rPr>
          <w:rFonts w:ascii="宋体" w:hAnsi="Times New Roman" w:eastAsia="宋体"/>
          <w:b/>
          <w:i w:val="false"/>
          <w:color w:val="004347"/>
          <w:sz w:val="22"/>
        </w:rPr>
        <w:t>“上链前真实”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区块链只能保证数据上链后不可篡改，无法保证写进去的数是真的；碳数据要过核查关，数据来源的物理可信度没有替代品。边缘网关同时承担本地缓存与断网自治，通信恢复后自动补传，园区网络中断不影响计量完整性。这是一笔“贵但正确”的账。</w:t>
      </w:r>
    </w:p>
    <w:bookmarkEnd w:id="7"/>
    <w:bookmarkStart w:name="u0cf2abc5" w:id="8"/>
    <w:p>
      <w:pPr>
        <w:spacing w:after="50" w:line="360" w:lineRule="auto" w:beforeLines="100"/>
        <w:ind w:left="0"/>
        <w:jc w:val="left"/>
      </w:pPr>
      <w:bookmarkStart w:name="ube9e5fbb" w:id="9"/>
      <w:r>
        <w:rPr>
          <w:rFonts w:eastAsia="宋体" w:ascii="宋体"/>
        </w:rPr>
        <w:drawing>
          <wp:inline distT="0" distB="0" distL="0" distR="0">
            <wp:extent cx="5841999" cy="137280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559867" cy="4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9"/>
    </w:p>
    <w:bookmarkEnd w:id="8"/>
    <w:bookmarkStart w:name="u30f784d4" w:id="1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方案采用七层架构（L0 边缘感知 → L1 数据标准化 → L2 业务服务 → L3 Agent 推理 → L4 行动/安全 → L5 事件协作 → L6 Agentic SaaS 交互），八个业务智能体（数据接入、告警诊断、优化调度、碳核算、绿电溯源、智能巡检、收益核算、报表解读）只存在于 L3。</w:t>
      </w:r>
    </w:p>
    <w:bookmarkEnd w:id="10"/>
    <w:bookmarkStart w:name="ua38622ae" w:id="11"/>
    <w:p>
      <w:pPr>
        <w:spacing w:after="50" w:line="360" w:lineRule="auto" w:beforeLines="100"/>
        <w:ind w:left="0"/>
        <w:jc w:val="left"/>
      </w:pPr>
      <w:bookmarkStart w:name="u15c523ec" w:id="12"/>
      <w:r>
        <w:rPr>
          <w:rFonts w:eastAsia="宋体" w:ascii="宋体"/>
        </w:rPr>
        <w:drawing>
          <wp:inline distT="0" distB="0" distL="0" distR="0">
            <wp:extent cx="5842000" cy="438117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975600" cy="59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2"/>
    </w:p>
    <w:bookmarkEnd w:id="11"/>
    <w:bookmarkStart w:name="ub8872fd4" w:id="1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这条边界写死了三条铁律：</w:t>
      </w:r>
      <w:r>
        <w:rPr>
          <w:rFonts w:ascii="宋体" w:hAnsi="Times New Roman" w:eastAsia="宋体"/>
          <w:b/>
          <w:i w:val="false"/>
          <w:color w:val="004347"/>
          <w:sz w:val="22"/>
        </w:rPr>
        <w:t>大模型不写关键业务数据、不碰确定性核算公式、不触发设备控制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。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碳核算的每一个乘法都由确定性引擎完成，大模型负责的是理解型任务——归因（“本月碳排为何高 12%”沿核算链路给出证据）、报告生成、自然语言问答。配合 Orchestrator-Worker 模式（编排中枢只做路由与状态管理、不做 LLM 推理，智能体间经事实源表传递结构化数据而非自然语言对话），系统在获得大模型理解力的同时，保住了核算结果的可复现性——后者是核查场景的生死线。</w:t>
      </w:r>
    </w:p>
    <w:bookmarkEnd w:id="13"/>
    <w:bookmarkStart w:name="u03e07ffe" w:id="14"/>
    <w:p>
      <w:pPr>
        <w:spacing w:after="50" w:line="360" w:lineRule="auto" w:beforeLines="100"/>
        <w:ind w:left="0"/>
        <w:jc w:val="left"/>
      </w:pPr>
      <w:bookmarkStart w:name="ud0581da5" w:id="15"/>
      <w:r>
        <w:rPr>
          <w:rFonts w:eastAsia="宋体" w:ascii="宋体"/>
        </w:rPr>
        <w:drawing>
          <wp:inline distT="0" distB="0" distL="0" distR="0">
            <wp:extent cx="5842000" cy="134358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403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5"/>
    </w:p>
    <w:bookmarkEnd w:id="14"/>
    <w:bookmarkStart w:name="ue4df66e5" w:id="1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工业客户最常问的问题不是“AI 有多聪明”，而是“AI 挂了会怎样”。方案的回答是架构级的：</w:t>
      </w:r>
      <w:r>
        <w:rPr>
          <w:rFonts w:ascii="宋体" w:hAnsi="Times New Roman" w:eastAsia="宋体"/>
          <w:b/>
          <w:i w:val="false"/>
          <w:color w:val="004347"/>
          <w:sz w:val="22"/>
        </w:rPr>
        <w:t>关键路径完全不依赖 LLM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。模型服务不可用时，核算、看板、报告、告警等核心功能 100% 可用，智能体层整体降级为规则引擎与离线批处理。</w:t>
      </w:r>
    </w:p>
    <w:bookmarkEnd w:id="16"/>
    <w:bookmarkStart w:name="u0398d65e" w:id="17"/>
    <w:p>
      <w:pPr>
        <w:spacing w:after="50" w:line="360" w:lineRule="auto" w:beforeLines="100"/>
        <w:ind w:left="0"/>
        <w:jc w:val="left"/>
      </w:pPr>
      <w:bookmarkStart w:name="u5c4d9c61" w:id="18"/>
      <w:r>
        <w:rPr>
          <w:rFonts w:eastAsia="宋体" w:ascii="宋体"/>
        </w:rPr>
        <w:drawing>
          <wp:inline distT="0" distB="0" distL="0" distR="0">
            <wp:extent cx="5842000" cy="438117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75600" cy="59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8"/>
    </w:p>
    <w:bookmarkEnd w:id="17"/>
    <w:bookmarkStart w:name="u9f9459d9" w:id="1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这不是保守，而是对可用性责任的正视。能碳平台承载的是申报、核查、结算等有法定时限的业务，“AI 依赖症”在这个场景里不是卖点而是负债。降级设计把大模型从“系统器官”降为“系统外挂”，恰好是它正确的位置。</w:t>
      </w:r>
    </w:p>
    <w:bookmarkEnd w:id="19"/>
    <w:bookmarkStart w:name="u6ecfca96" w:id="20"/>
    <w:p>
      <w:pPr>
        <w:spacing w:after="50" w:line="360" w:lineRule="auto" w:beforeLines="100"/>
        <w:ind w:left="0"/>
        <w:jc w:val="left"/>
      </w:pPr>
      <w:bookmarkStart w:name="u840b9492" w:id="21"/>
      <w:r>
        <w:rPr>
          <w:rFonts w:eastAsia="宋体" w:ascii="宋体"/>
        </w:rPr>
        <w:drawing>
          <wp:inline distT="0" distB="0" distL="0" distR="0">
            <wp:extent cx="5842000" cy="1372859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238133" cy="405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1"/>
    </w:p>
    <w:bookmarkEnd w:id="20"/>
    <w:bookmarkStart w:name="u81346346" w:id="2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微电网运行内核采用三段式：</w:t>
      </w:r>
      <w:r>
        <w:rPr>
          <w:rFonts w:ascii="宋体" w:hAnsi="Times New Roman" w:eastAsia="宋体"/>
          <w:b/>
          <w:i w:val="false"/>
          <w:color w:val="004347"/>
          <w:sz w:val="22"/>
        </w:rPr>
        <w:t>预测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（pvlib 光伏建模 + LightGBM 负荷回归，融合气象与电价曲线，精度 &gt;90% 示范预期）→ </w:t>
      </w:r>
      <w:r>
        <w:rPr>
          <w:rFonts w:ascii="宋体" w:hAnsi="Times New Roman" w:eastAsia="宋体"/>
          <w:b/>
          <w:i w:val="false"/>
          <w:color w:val="004347"/>
          <w:sz w:val="22"/>
        </w:rPr>
        <w:t>优化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（Pyomo 建模 + HiGHS 求解混合整数规划，决策变量为储能 24 小时充放计划与需量目标，目标函数为综合电费最小化）→ </w:t>
      </w:r>
      <w:r>
        <w:rPr>
          <w:rFonts w:ascii="宋体" w:hAnsi="Times New Roman" w:eastAsia="宋体"/>
          <w:b/>
          <w:i w:val="false"/>
          <w:color w:val="004347"/>
          <w:sz w:val="22"/>
        </w:rPr>
        <w:t>执行（建议 + 人工审批）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</w:t>
      </w:r>
    </w:p>
    <w:bookmarkEnd w:id="22"/>
    <w:bookmarkStart w:name="u0a399413" w:id="23"/>
    <w:p>
      <w:pPr>
        <w:spacing w:after="50" w:line="360" w:lineRule="auto" w:beforeLines="100"/>
        <w:ind w:left="0"/>
        <w:jc w:val="left"/>
      </w:pPr>
      <w:bookmarkStart w:name="u5b1c661a" w:id="24"/>
      <w:r>
        <w:rPr>
          <w:rFonts w:eastAsia="宋体" w:ascii="宋体"/>
        </w:rPr>
        <w:drawing>
          <wp:inline distT="0" distB="0" distL="0" distR="0">
            <wp:extent cx="5842000" cy="438117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975600" cy="59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4"/>
    </w:p>
    <w:bookmarkEnd w:id="23"/>
    <w:bookmarkStart w:name="ue7166c76" w:id="2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刻意保留的最后一环是关键：平台交付止步“监测 + 核算 + 可视化 + 告警 + 建议”，不含设备主动控制。黑盒决策在工业现场没有生存空间，“Agent 出建议 → 人审批 → 执行 → 全链路审计”的闭环，是央国企与托管商敢把系统接入生产现场的前提。全开源技术栈（零 License 费）则保证了这套内核的成本可复制。实测成绩：储能项目峰谷套利收益 +30% 以上、运维人力 -60% 以上。</w:t>
      </w:r>
    </w:p>
    <w:bookmarkEnd w:id="25"/>
    <w:bookmarkStart w:name="udba0bdba" w:id="26"/>
    <w:p>
      <w:pPr>
        <w:spacing w:after="50" w:line="360" w:lineRule="auto" w:beforeLines="100"/>
        <w:ind w:left="0"/>
        <w:jc w:val="left"/>
      </w:pPr>
      <w:bookmarkStart w:name="ua0ba3302" w:id="27"/>
      <w:r>
        <w:rPr>
          <w:rFonts w:eastAsia="宋体" w:ascii="宋体"/>
        </w:rPr>
        <w:drawing>
          <wp:inline distT="0" distB="0" distL="0" distR="0">
            <wp:extent cx="5842000" cy="1302756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492133" cy="3900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7"/>
    </w:p>
    <w:bookmarkEnd w:id="26"/>
    <w:bookmarkStart w:name="u4c91df21" w:id="2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这是全方案最“不起眼”却最关键的决策。国家温室气体排放因子数据库按年度更新（第二版 576 个因子），电力因子分全国/区域/化石能源多口径并存——</w:t>
      </w:r>
      <w:r>
        <w:rPr>
          <w:rFonts w:ascii="宋体" w:hAnsi="Times New Roman" w:eastAsia="宋体"/>
          <w:b/>
          <w:i w:val="false"/>
          <w:color w:val="004347"/>
          <w:sz w:val="22"/>
        </w:rPr>
        <w:t>不做因子版本管理，历史报表口径必然漂移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，核查场景下无法复现。</w:t>
      </w:r>
    </w:p>
    <w:bookmarkEnd w:id="28"/>
    <w:bookmarkStart w:name="u3164fc9a" w:id="29"/>
    <w:p>
      <w:pPr>
        <w:spacing w:after="50" w:line="360" w:lineRule="auto" w:beforeLines="100"/>
        <w:ind w:left="0"/>
        <w:jc w:val="left"/>
      </w:pPr>
      <w:bookmarkStart w:name="ue4dde183" w:id="30"/>
      <w:r>
        <w:rPr>
          <w:rFonts w:eastAsia="宋体" w:ascii="宋体"/>
        </w:rPr>
        <w:drawing>
          <wp:inline distT="0" distB="0" distL="0" distR="0">
            <wp:extent cx="5842000" cy="438117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975600" cy="59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0"/>
    </w:p>
    <w:bookmarkEnd w:id="29"/>
    <w:bookmarkStart w:name="ub0fddcb6" w:id="3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方案的因子库引擎将因子按年份/区域/能源品种三维版本化，每条记录携带来源、适用口径、生效日期与发布依据；更新走“变更申请—审批—发布”流程并自动留痕；版本切换时提供全历史重算与口径差异说明。它同时命中三重逻辑：竞品普遍短板、国家因子库年度更新制、核查认可前提。绿电溯源侧配套“凭证缺失即还原”纪律——凭证齐备按零排放因子核算，缺失自动还原化石能源口径并提示，宁可保守核算，不做口径造假。</w:t>
      </w:r>
    </w:p>
    <w:bookmarkEnd w:id="31"/>
    <w:bookmarkStart w:name="ufb2180bd" w:id="32"/>
    <w:p>
      <w:pPr>
        <w:spacing w:after="50" w:line="360" w:lineRule="auto" w:beforeLines="100"/>
        <w:ind w:left="0"/>
        <w:jc w:val="left"/>
      </w:pPr>
      <w:bookmarkStart w:name="ud4150283" w:id="33"/>
      <w:r>
        <w:rPr>
          <w:rFonts w:eastAsia="宋体" w:ascii="宋体"/>
        </w:rPr>
        <w:drawing>
          <wp:inline distT="0" distB="0" distL="0" distR="0">
            <wp:extent cx="5841999" cy="126185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458267" cy="3770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3"/>
    </w:p>
    <w:bookmarkEnd w:id="32"/>
    <w:bookmarkStart w:name="u290a1909" w:id="3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方案将“可信”拆为四层工程：</w:t>
      </w:r>
      <w:r>
        <w:rPr>
          <w:rFonts w:ascii="宋体" w:hAnsi="Times New Roman" w:eastAsia="宋体"/>
          <w:b/>
          <w:i w:val="false"/>
          <w:color w:val="004347"/>
          <w:sz w:val="22"/>
        </w:rPr>
        <w:t>源头真实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（自研直采 + AI 异常识别与计量校验）→ </w:t>
      </w:r>
      <w:r>
        <w:rPr>
          <w:rFonts w:ascii="宋体" w:hAnsi="Times New Roman" w:eastAsia="宋体"/>
          <w:b/>
          <w:i w:val="false"/>
          <w:color w:val="004347"/>
          <w:sz w:val="22"/>
        </w:rPr>
        <w:t>过程留痕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（口径、边界、人工修改全程可溯，任一时点可复算复现）→ </w:t>
      </w:r>
      <w:r>
        <w:rPr>
          <w:rFonts w:ascii="宋体" w:hAnsi="Times New Roman" w:eastAsia="宋体"/>
          <w:b/>
          <w:i w:val="false"/>
          <w:color w:val="004347"/>
          <w:sz w:val="22"/>
        </w:rPr>
        <w:t>结果存证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（关键凭证与审计日志对接存证服务）→ </w:t>
      </w:r>
      <w:r>
        <w:rPr>
          <w:rFonts w:ascii="宋体" w:hAnsi="Times New Roman" w:eastAsia="宋体"/>
          <w:b/>
          <w:i w:val="false"/>
          <w:color w:val="004347"/>
          <w:sz w:val="22"/>
        </w:rPr>
        <w:t>第三方接口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（预留 SGS/DNV/TÜV/CQC 等核查认证机构及省级双碳平台对接）。平台明确不承诺认证结果——认证由第三方出具，平台保证的是“数据可追溯、口径可解释、结果可复现”，这既是可信的前提，也是免责的底线。</w:t>
      </w:r>
    </w:p>
    <w:bookmarkEnd w:id="34"/>
    <w:bookmarkStart w:name="uc724afa7" w:id="35"/>
    <w:p>
      <w:pPr>
        <w:spacing w:after="50" w:line="360" w:lineRule="auto" w:beforeLines="100"/>
        <w:ind w:left="0"/>
        <w:jc w:val="left"/>
      </w:pPr>
      <w:bookmarkStart w:name="u264baf0e" w:id="36"/>
      <w:r>
        <w:rPr>
          <w:rFonts w:eastAsia="宋体" w:ascii="宋体"/>
        </w:rPr>
        <w:drawing>
          <wp:inline distT="0" distB="0" distL="0" distR="0">
            <wp:extent cx="5842000" cy="438117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975600" cy="59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6"/>
    </w:p>
    <w:bookmarkEnd w:id="35"/>
    <w:bookmarkStart w:name="ub197f271" w:id="37"/>
    <w:p>
      <w:pPr>
        <w:spacing w:after="50" w:line="360" w:lineRule="auto" w:beforeLines="100"/>
        <w:ind w:left="0"/>
        <w:jc w:val="left"/>
      </w:pPr>
      <w:bookmarkStart w:name="ucfd6ddc5" w:id="38"/>
      <w:r>
        <w:rPr>
          <w:rFonts w:eastAsia="宋体" w:ascii="宋体"/>
        </w:rPr>
        <w:drawing>
          <wp:inline distT="0" distB="0" distL="0" distR="0">
            <wp:extent cx="5842000" cy="136702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0" cy="4101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8"/>
    </w:p>
    <w:bookmarkEnd w:id="37"/>
    <w:bookmarkStart w:name="u353dcddb" w:id="3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最后一条决策是关于放弃的：不做面向海量小微企业的通用碳 SaaS；不做含硬件的千万级总包；不做认证与核查主体。配合国产化服务器/操作系统/数据库适配、等保二级起步（省级上报接口按三级设计）、私有化部署与数据主权归客户，方案的每一次“不做”都对应着一个责任边界的划定——在碳这个即将被强监管的数据品类里，边界纪律本身就是产品力。</w:t>
      </w:r>
    </w:p>
    <w:bookmarkEnd w:id="39"/>
    <w:bookmarkStart w:name="ua1adb2ea" w:id="40"/>
    <w:p>
      <w:pPr>
        <w:spacing w:after="50" w:line="360" w:lineRule="auto" w:beforeLines="100"/>
        <w:ind w:left="0"/>
        <w:jc w:val="left"/>
      </w:pPr>
      <w:bookmarkStart w:name="ue9734631" w:id="41"/>
      <w:r>
        <w:rPr>
          <w:rFonts w:eastAsia="宋体" w:ascii="宋体"/>
        </w:rPr>
        <w:drawing>
          <wp:inline distT="0" distB="0" distL="0" distR="0">
            <wp:extent cx="5842000" cy="438117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975600" cy="59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1"/>
    </w:p>
    <w:bookmarkEnd w:id="40"/>
    <w:bookmarkStart w:name="ucc45c112" w:id="42"/>
    <w:p>
      <w:pPr>
        <w:spacing w:after="50" w:line="360" w:lineRule="auto" w:beforeLines="100"/>
        <w:ind w:left="0"/>
        <w:jc w:val="left"/>
      </w:pPr>
      <w:bookmarkStart w:name="uc4f2f8f3" w:id="43"/>
      <w:r>
        <w:rPr>
          <w:rFonts w:eastAsia="宋体" w:ascii="宋体"/>
        </w:rPr>
        <w:drawing>
          <wp:inline distT="0" distB="0" distL="0" distR="0">
            <wp:extent cx="5842000" cy="130860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0" cy="392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3"/>
    </w:p>
    <w:bookmarkEnd w:id="42"/>
    <w:bookmarkStart w:name="uba0b2c17" w:id="4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把七个决策放在一起看，这套方案的底层逻辑是清晰的：</w:t>
      </w:r>
      <w:r>
        <w:rPr>
          <w:rFonts w:ascii="宋体" w:hAnsi="Times New Roman" w:eastAsia="宋体"/>
          <w:b/>
          <w:i w:val="false"/>
          <w:color w:val="004347"/>
          <w:sz w:val="22"/>
        </w:rPr>
        <w:t>用确定性工程承载确定性业务，把 AI 的位置放在理解与表达上；用物理可信打底，用口径管理护住核查；用清晰的边界换取客户的信任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。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零碳园区这场考试，评卷人不是观众，是核查机构与监管部门——方案的全部设计，都是为了让每一份数据经得起他们的追问。</w:t>
      </w:r>
    </w:p>
    <w:bookmarkEnd w:id="44"/>
    <w:bookmarkStart w:name="uc43db431" w:id="45"/>
    <w:p>
      <w:pPr>
        <w:spacing w:after="50" w:line="360" w:lineRule="auto" w:beforeLines="100"/>
        <w:ind w:left="0"/>
        <w:jc w:val="left"/>
      </w:pPr>
      <w:bookmarkStart w:name="HF6a8" w:id="46"/>
      <w:r>
        <w:rPr>
          <w:rFonts w:eastAsia="宋体" w:ascii="宋体"/>
        </w:rPr>
        <w:drawing>
          <wp:inline distT="0" distB="0" distL="0" distR="0">
            <wp:extent cx="5842000" cy="161816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789334" cy="215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6"/>
    </w:p>
    <w:bookmarkEnd w:id="45"/>
    <w:bookmarkStart w:name="u8d2b3d07" w:id="47"/>
    <w:p>
      <w:pPr>
        <w:spacing w:after="50" w:line="360" w:lineRule="auto" w:beforeLines="100"/>
        <w:ind w:left="0"/>
        <w:jc w:val="left"/>
      </w:pPr>
      <w:bookmarkStart w:name="ue00a6830" w:id="48"/>
      <w:r>
        <w:rPr>
          <w:rFonts w:eastAsia="宋体" w:ascii="宋体"/>
        </w:rPr>
        <w:drawing>
          <wp:inline distT="0" distB="0" distL="0" distR="0">
            <wp:extent cx="5842000" cy="800938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0" cy="2820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8"/>
    </w:p>
    <w:bookmarkEnd w:id="47"/>
    <w:bookmarkStart w:name="ubd68c99d" w:id="49"/>
    <w:p>
      <w:pPr>
        <w:spacing w:after="50" w:line="360" w:lineRule="auto" w:beforeLines="100"/>
        <w:ind w:left="0"/>
        <w:jc w:val="left"/>
      </w:pPr>
      <w:bookmarkStart w:name="pdHGx" w:id="50"/>
      <w:r>
        <w:rPr>
          <w:rFonts w:eastAsia="宋体" w:ascii="宋体"/>
        </w:rPr>
        <w:drawing>
          <wp:inline distT="0" distB="0" distL="0" distR="0">
            <wp:extent cx="5841999" cy="47903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8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0"/>
    </w:p>
    <w:bookmarkEnd w:id="49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document_image_rId10.png" Type="http://schemas.openxmlformats.org/officeDocument/2006/relationships/image"/><Relationship Id="rId11" Target="media/document_image_rId11.png" Type="http://schemas.openxmlformats.org/officeDocument/2006/relationships/image"/><Relationship Id="rId12" Target="media/document_image_rId12.png" Type="http://schemas.openxmlformats.org/officeDocument/2006/relationships/image"/><Relationship Id="rId13" Target="media/document_image_rId13.png" Type="http://schemas.openxmlformats.org/officeDocument/2006/relationships/image"/><Relationship Id="rId14" Target="media/document_image_rId14.png" Type="http://schemas.openxmlformats.org/officeDocument/2006/relationships/image"/><Relationship Id="rId15" Target="media/document_image_rId15.png" Type="http://schemas.openxmlformats.org/officeDocument/2006/relationships/image"/><Relationship Id="rId16" Target="media/document_image_rId16.png" Type="http://schemas.openxmlformats.org/officeDocument/2006/relationships/image"/><Relationship Id="rId17" Target="media/document_image_rId17.png" Type="http://schemas.openxmlformats.org/officeDocument/2006/relationships/image"/><Relationship Id="rId18" Target="media/document_image_rId18.png" Type="http://schemas.openxmlformats.org/officeDocument/2006/relationships/image"/><Relationship Id="rId19" Target="media/document_image_rId19.png" Type="http://schemas.openxmlformats.org/officeDocument/2006/relationships/image"/><Relationship Id="rId2" Target="settings.xml" Type="http://schemas.openxmlformats.org/officeDocument/2006/relationships/settings"/><Relationship Id="rId20" Target="media/document_image_rId20.png" Type="http://schemas.openxmlformats.org/officeDocument/2006/relationships/image"/><Relationship Id="rId21" Target="media/document_image_rId21.png" Type="http://schemas.openxmlformats.org/officeDocument/2006/relationships/image"/><Relationship Id="rId22" Target="media/document_image_rId22.png" Type="http://schemas.openxmlformats.org/officeDocument/2006/relationships/image"/><Relationship Id="rId3" Target="numbering.xml" Type="http://schemas.openxmlformats.org/officeDocument/2006/relationships/numbering"/><Relationship Id="rId4" Target="media/document_image_rId4.png" Type="http://schemas.openxmlformats.org/officeDocument/2006/relationships/image"/><Relationship Id="rId5" Target="media/document_image_rId5.png" Type="http://schemas.openxmlformats.org/officeDocument/2006/relationships/image"/><Relationship Id="rId6" Target="media/document_image_rId6.png" Type="http://schemas.openxmlformats.org/officeDocument/2006/relationships/image"/><Relationship Id="rId7" Target="media/document_image_rId7.png" Type="http://schemas.openxmlformats.org/officeDocument/2006/relationships/image"/><Relationship Id="rId8" Target="media/document_image_rId8.png" Type="http://schemas.openxmlformats.org/officeDocument/2006/relationships/image"/><Relationship Id="rId9" Target="media/document_image_rId9.png" Type="http://schemas.openxmlformats.org/officeDocument/2006/relationships/image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