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vnd.openxmlformats-officedocument.wordprocessingml.document.main+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image/png" PartName="/word/media/document_image_rId4.png"/>
  <Override ContentType="image/png" PartName="/word/media/document_image_rId5.png"/>
  <Override ContentType="image/png" PartName="/word/media/document_image_rId7.png"/>
  <Override ContentType="image/png" PartName="/word/media/document_image_rId8.png"/>
  <Override ContentType="image/png" PartName="/word/media/document_image_rId10.png"/>
  <Override ContentType="image/png" PartName="/word/media/document_image_rId11.png"/>
  <Override ContentType="image/png" PartName="/word/media/document_image_rId13.png"/>
  <Override ContentType="image/png" PartName="/word/media/document_image_rId14.png"/>
  <Override ContentType="image/png" PartName="/word/media/document_image_rId15.png"/>
  <Override ContentType="image/png" PartName="/word/media/document_image_rId16.png"/>
  <Override ContentType="image/png" PartName="/word/media/document_image_rId17.png"/>
  <Override ContentType="image/png" PartName="/word/media/document_image_rId18.png"/>
  <Override ContentType="image/png" PartName="/word/media/document_image_rId19.png"/>
  <Override ContentType="image/png" PartName="/word/media/document_image_rId20.png"/>
  <Override ContentType="image/png" PartName="/word/media/document_image_rId21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!-- Created by docx4j 6.1.2 (Apache licensed) using REFERENCE JAXB in Oracle Java 1.8.0_131 on Linux -->
    <w:p>
      <w:pPr>
        <w:pStyle w:val="Heading1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【轨物方案】AI 给建议，人拍板：我们做电力行业 Agent 的三条设计原则</w:t>
      </w:r>
    </w:p>
    <w:p>
      <w:pPr>
        <w:spacing w:after="50" w:line="360" w:lineRule="auto" w:beforeLines="100"/>
        <w:ind w:left="0"/>
        <w:jc w:val="left"/>
      </w:pPr>
      <w:bookmarkStart w:name="ue767deed" w:id="0"/>
      <w:bookmarkStart w:name="ue92a9310" w:id="1"/>
      <w:r>
        <w:rPr>
          <w:rFonts w:eastAsia="宋体" w:ascii="宋体"/>
        </w:rPr>
        <w:drawing>
          <wp:inline distT="0" distB="0" distL="0" distR="0">
            <wp:extent cx="5841999" cy="379724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872134" cy="641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</w:p>
    <w:bookmarkEnd w:id="0"/>
    <w:bookmarkStart w:name="u8d47ea74" w:id="2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过去一年，“</w:t>
      </w:r>
      <w:r>
        <w:rPr>
          <w:rFonts w:ascii="宋体" w:hAnsi="Times New Roman" w:eastAsia="宋体"/>
          <w:b/>
          <w:i w:val="false"/>
          <w:color w:val="004347"/>
          <w:sz w:val="22"/>
        </w:rPr>
        <w:t>Agent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”成了技术圈出现频率最高的词之一。但在电力、能源这类严肃行业里，真正的问题是：一个 AI 智能体要怎样设计，客户才敢把它放进生产流程？放在标书制作这样“</w:t>
      </w:r>
      <w:r>
        <w:rPr>
          <w:rFonts w:ascii="宋体" w:hAnsi="Times New Roman" w:eastAsia="宋体"/>
          <w:b/>
          <w:i w:val="false"/>
          <w:color w:val="004347"/>
          <w:sz w:val="22"/>
        </w:rPr>
        <w:t>错一个字都可能废标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”的场景里，这个问题尤其尖锐。</w:t>
      </w:r>
    </w:p>
    <w:bookmarkEnd w:id="2"/>
    <w:bookmarkStart w:name="u742f0c04" w:id="3"/>
    <w:p>
      <w:pPr>
        <w:spacing w:after="50" w:line="360" w:lineRule="auto" w:beforeLines="100"/>
        <w:ind w:left="0"/>
        <w:jc w:val="left"/>
      </w:pPr>
      <w:bookmarkStart w:name="u08718c6f" w:id="4"/>
      <w:r>
        <w:rPr>
          <w:rFonts w:eastAsia="宋体" w:ascii="宋体"/>
        </w:rPr>
        <w:drawing>
          <wp:inline distT="0" distB="0" distL="0" distR="0">
            <wp:extent cx="5842000" cy="4381445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951200" cy="1196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4"/>
    </w:p>
    <w:bookmarkEnd w:id="3"/>
    <w:bookmarkStart w:name="doihq" w:id="5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
    此处为语雀视频卡片，点击链接查看：</w:t>
      </w:r>
      <w:hyperlink r:id="rId6">
        <w:r>
          <w:rPr>
            <w:rFonts w:ascii="宋体" w:hAnsi="Times New Roman" w:eastAsia="宋体"/>
            <w:b w:val="false"/>
            <w:i w:val="false"/>
            <w:color w:val="0000ff"/>
            <w:sz w:val="22"/>
            <w:u w:val="single"/>
          </w:rPr>
          <w:t>1.mp4</w:t>
        </w:r>
      </w:hyperlink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
   </w:t>
      </w:r>
    </w:p>
    <w:bookmarkEnd w:id="5"/>
    <w:bookmarkStart w:name="u164db83f" w:id="6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杭州轨物科技做了十六年电力行业的 AI 与物联网，我们的主线产品——光伏电站智能运维、零碳园区能碳管理——背后是同一套 Agentic 技术底座：自研传感器与边缘网关构成感知层，多智能体系统承担诊断、调度、决策执行。去年，我们把这套底座延伸到一个此前没有 AI 踏入过的领域：</w:t>
      </w:r>
      <w:r>
        <w:rPr>
          <w:rFonts w:ascii="宋体" w:hAnsi="Times New Roman" w:eastAsia="宋体"/>
          <w:b/>
          <w:i w:val="false"/>
          <w:color w:val="004347"/>
          <w:sz w:val="22"/>
        </w:rPr>
        <w:t>投标文件制作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。这篇文章不讲功能清单，讲支撑我们做这个产品的三条设计原则。</w:t>
      </w:r>
    </w:p>
    <w:bookmarkEnd w:id="6"/>
    <w:bookmarkStart w:name="uc647aa26" w:id="7"/>
    <w:p>
      <w:pPr>
        <w:spacing w:after="50" w:line="360" w:lineRule="auto" w:beforeLines="100"/>
        <w:ind w:left="0"/>
        <w:jc w:val="left"/>
      </w:pPr>
      <w:bookmarkStart w:name="ub5afdb70" w:id="8"/>
      <w:r>
        <w:rPr>
          <w:rFonts w:eastAsia="宋体" w:ascii="宋体"/>
        </w:rPr>
        <w:drawing>
          <wp:inline distT="0" distB="0" distL="0" distR="0">
            <wp:extent cx="5842000" cy="1308538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542933" cy="3929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8"/>
    </w:p>
    <w:bookmarkEnd w:id="7"/>
    <w:bookmarkStart w:name="u6065ea11" w:id="9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通用 AI 助手有一个先天缺陷：它对用户正在做的事一无所知。用户问“为什么推荐这个保证值”，助手只能反问“您说的是哪个项目、哪台设备、哪条参数”。对话的一半精力耗在互相交代背景上。</w:t>
      </w:r>
    </w:p>
    <w:bookmarkEnd w:id="9"/>
    <w:bookmarkStart w:name="uf1ed0cec" w:id="10"/>
    <w:p>
      <w:pPr>
        <w:spacing w:after="50" w:line="360" w:lineRule="auto" w:beforeLines="100"/>
        <w:ind w:left="0"/>
        <w:jc w:val="left"/>
      </w:pPr>
      <w:bookmarkStart w:name="uc237a493" w:id="11"/>
      <w:r>
        <w:rPr>
          <w:rFonts w:eastAsia="宋体" w:ascii="宋体"/>
        </w:rPr>
        <w:drawing>
          <wp:inline distT="0" distB="0" distL="0" distR="0">
            <wp:extent cx="5842000" cy="4381445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951200" cy="1196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1"/>
    </w:p>
    <w:bookmarkEnd w:id="10"/>
    <w:bookmarkStart w:name="aQovn" w:id="12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
    此处为语雀视频卡片，点击链接查看：</w:t>
      </w:r>
      <w:hyperlink r:id="rId9">
        <w:r>
          <w:rPr>
            <w:rFonts w:ascii="宋体" w:hAnsi="Times New Roman" w:eastAsia="宋体"/>
            <w:b w:val="false"/>
            <w:i w:val="false"/>
            <w:color w:val="0000ff"/>
            <w:sz w:val="22"/>
            <w:u w:val="single"/>
          </w:rPr>
          <w:t>1111.mp4</w:t>
        </w:r>
      </w:hyperlink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
   </w:t>
      </w:r>
    </w:p>
    <w:bookmarkEnd w:id="12"/>
    <w:bookmarkStart w:name="uf4a5e33d" w:id="13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我们的解法是把上下文做成系统的一部分。平台内的 AI 助手自动感知三层信息：当前处于哪个项目、哪个标包、哪条技术规范；当前停留的页面是什么业务环节；当前操作对象的关联数据是什么。用户在任何页面打开助手，问题默认就是“</w:t>
      </w:r>
      <w:r>
        <w:rPr>
          <w:rFonts w:ascii="宋体" w:hAnsi="Times New Roman" w:eastAsia="宋体"/>
          <w:b/>
          <w:i w:val="false"/>
          <w:color w:val="004347"/>
          <w:sz w:val="22"/>
        </w:rPr>
        <w:t>就眼前这件事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”提问——在技术响应页问参数，它知道你在哪个 ID 上；在工作台问待办，它汇总的是全局风险；在项目详情页问否决项，它读的是这个项目的解析结果。</w:t>
      </w:r>
    </w:p>
    <w:bookmarkEnd w:id="13"/>
    <w:bookmarkStart w:name="u77b10db9" w:id="14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这个设计背后的判断是：行业 AI 的价值不在“</w:t>
      </w:r>
      <w:r>
        <w:rPr>
          <w:rFonts w:ascii="宋体" w:hAnsi="Times New Roman" w:eastAsia="宋体"/>
          <w:b/>
          <w:i w:val="false"/>
          <w:color w:val="004347"/>
          <w:sz w:val="22"/>
        </w:rPr>
        <w:t>什么都能聊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”，而在“</w:t>
      </w:r>
      <w:r>
        <w:rPr>
          <w:rFonts w:ascii="宋体" w:hAnsi="Times New Roman" w:eastAsia="宋体"/>
          <w:b/>
          <w:i w:val="false"/>
          <w:color w:val="004347"/>
          <w:sz w:val="22"/>
        </w:rPr>
        <w:t>恰好懂你此刻的场景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”。降低提问成本，本质上是降低 AI 的使用门槛——当一个工程师不需要组织语言描述背景就能得到有用的回答时，AI 才从“玩具”变成了“</w:t>
      </w:r>
      <w:r>
        <w:rPr>
          <w:rFonts w:ascii="宋体" w:hAnsi="Times New Roman" w:eastAsia="宋体"/>
          <w:b/>
          <w:i w:val="false"/>
          <w:color w:val="004347"/>
          <w:sz w:val="22"/>
        </w:rPr>
        <w:t>同事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”。</w:t>
      </w:r>
    </w:p>
    <w:bookmarkEnd w:id="14"/>
    <w:bookmarkStart w:name="u038032dd" w:id="15"/>
    <w:p>
      <w:pPr>
        <w:spacing w:after="50" w:line="360" w:lineRule="auto" w:beforeLines="100"/>
        <w:ind w:left="0"/>
        <w:jc w:val="left"/>
      </w:pPr>
      <w:bookmarkStart w:name="ubd5c096f" w:id="16"/>
      <w:r>
        <w:rPr>
          <w:rFonts w:eastAsia="宋体" w:ascii="宋体"/>
        </w:rPr>
        <w:drawing>
          <wp:inline distT="0" distB="0" distL="0" distR="0">
            <wp:extent cx="5841999" cy="1372802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7559867" cy="412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6"/>
    </w:p>
    <w:bookmarkEnd w:id="15"/>
    <w:bookmarkStart w:name="ue446d1f7" w:id="17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大模型的幻觉问题在行业讨论里已经足够多，我们不重复技术讨论，只讲我们在产品层的应对，核心是一句话：</w:t>
      </w:r>
      <w:r>
        <w:rPr>
          <w:rFonts w:ascii="宋体" w:hAnsi="Times New Roman" w:eastAsia="宋体"/>
          <w:b/>
          <w:i w:val="false"/>
          <w:color w:val="004347"/>
          <w:sz w:val="22"/>
        </w:rPr>
        <w:t>不允许出现无法回溯的结论。</w:t>
      </w:r>
    </w:p>
    <w:bookmarkEnd w:id="17"/>
    <w:bookmarkStart w:name="u6fada044" w:id="18"/>
    <w:p>
      <w:pPr>
        <w:spacing w:after="50" w:line="360" w:lineRule="auto" w:beforeLines="100"/>
        <w:ind w:left="0"/>
        <w:jc w:val="left"/>
      </w:pPr>
      <w:bookmarkStart w:name="u294fe12e" w:id="19"/>
      <w:r>
        <w:rPr>
          <w:rFonts w:eastAsia="宋体" w:ascii="宋体"/>
        </w:rPr>
        <w:drawing>
          <wp:inline distT="0" distB="0" distL="0" distR="0">
            <wp:extent cx="5842000" cy="4381445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951200" cy="1196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9"/>
    </w:p>
    <w:bookmarkEnd w:id="18"/>
    <w:bookmarkStart w:name="VHbma" w:id="20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
    此处为语雀视频卡片，点击链接查看：</w:t>
      </w:r>
      <w:hyperlink r:id="rId12">
        <w:r>
          <w:rPr>
            <w:rFonts w:ascii="宋体" w:hAnsi="Times New Roman" w:eastAsia="宋体"/>
            <w:b w:val="false"/>
            <w:i w:val="false"/>
            <w:color w:val="0000ff"/>
            <w:sz w:val="22"/>
            <w:u w:val="single"/>
          </w:rPr>
          <w:t>666.mp4</w:t>
        </w:r>
      </w:hyperlink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
   </w:t>
      </w:r>
    </w:p>
    <w:bookmarkEnd w:id="20"/>
    <w:bookmarkStart w:name="ua4abb2c0" w:id="21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具体落地为三个机制。其一，</w:t>
      </w:r>
      <w:r>
        <w:rPr>
          <w:rFonts w:ascii="宋体" w:hAnsi="Times New Roman" w:eastAsia="宋体"/>
          <w:b/>
          <w:i w:val="false"/>
          <w:color w:val="004347"/>
          <w:sz w:val="22"/>
        </w:rPr>
        <w:t>来源强制挂载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。AI 助手的每条回答、解析器的每个字段、审查器的每条结论，都附带来源文件、原文位置和置信度，点击即可查看原文。回答与证据的关系，类似论文与脚注。其二，</w:t>
      </w:r>
      <w:r>
        <w:rPr>
          <w:rFonts w:ascii="宋体" w:hAnsi="Times New Roman" w:eastAsia="宋体"/>
          <w:b/>
          <w:i w:val="false"/>
          <w:color w:val="004347"/>
          <w:sz w:val="22"/>
        </w:rPr>
        <w:t>回答范围自我约束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。助手只基于当前项目的解析结果、企业知识库和案例数据作答，而不是对任何问题自由发挥。其三，</w:t>
      </w:r>
      <w:r>
        <w:rPr>
          <w:rFonts w:ascii="宋体" w:hAnsi="Times New Roman" w:eastAsia="宋体"/>
          <w:b/>
          <w:i w:val="false"/>
          <w:color w:val="004347"/>
          <w:sz w:val="22"/>
        </w:rPr>
        <w:t>置信度透明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。低置信度的参数响应会被单独标出，进入人工复核队列，而不是混在高置信度结果里蒙混过关。</w:t>
      </w:r>
    </w:p>
    <w:bookmarkEnd w:id="21"/>
    <w:bookmarkStart w:name="ubfd45847" w:id="22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这套机制的成本是显著的——工程上要维护证据链，体验上要容忍 AI 说“依据不足”。但我们认为这是严肃行业应用必须付的代价。电力行业的用户是工程师，他们评估一个新工具的方式不是听演示，而是随机抽三条结论去查证。查证通过，才有信任可言。</w:t>
      </w:r>
    </w:p>
    <w:bookmarkEnd w:id="22"/>
    <w:bookmarkStart w:name="u187a5206" w:id="23"/>
    <w:p>
      <w:pPr>
        <w:spacing w:after="50" w:line="360" w:lineRule="auto" w:beforeLines="100"/>
        <w:ind w:left="0"/>
        <w:jc w:val="left"/>
      </w:pPr>
      <w:bookmarkStart w:name="u3bdeca46" w:id="24"/>
      <w:r>
        <w:rPr>
          <w:rFonts w:eastAsia="宋体" w:ascii="宋体"/>
        </w:rPr>
        <w:drawing>
          <wp:inline distT="0" distB="0" distL="0" distR="0">
            <wp:extent cx="5842000" cy="1343588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7542933" cy="4034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4"/>
    </w:p>
    <w:bookmarkEnd w:id="23"/>
    <w:bookmarkStart w:name="u76520075" w:id="25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这是三条原则里最重要的一条，也是我们在多个行业场景里验证过的协作模式。</w:t>
      </w:r>
    </w:p>
    <w:bookmarkEnd w:id="25"/>
    <w:bookmarkStart w:name="u35f281c4" w:id="26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很多 AI 产品的交互是这样的：用户提需求，AI 直接改数据、直接执行，事后告诉用户“</w:t>
      </w:r>
      <w:r>
        <w:rPr>
          <w:rFonts w:ascii="宋体" w:hAnsi="Times New Roman" w:eastAsia="宋体"/>
          <w:b/>
          <w:i w:val="false"/>
          <w:color w:val="004347"/>
          <w:sz w:val="22"/>
        </w:rPr>
        <w:t>已完成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”。效率看起来很高，但在严肃业务里，这种模式有个致命缺陷——执行发生的瞬间，责任关系就模糊了。出了问题，是 AI 的错还是用的人的错？没人说得清。</w:t>
      </w:r>
    </w:p>
    <w:bookmarkEnd w:id="26"/>
    <w:bookmarkStart w:name="ud0dcae69" w:id="27"/>
    <w:p>
      <w:pPr>
        <w:spacing w:after="50" w:line="360" w:lineRule="auto" w:beforeLines="100"/>
        <w:ind w:left="0"/>
        <w:jc w:val="left"/>
      </w:pPr>
      <w:bookmarkStart w:name="u7684b43f" w:id="28"/>
      <w:r>
        <w:rPr>
          <w:rFonts w:eastAsia="宋体" w:ascii="宋体"/>
        </w:rPr>
        <w:drawing>
          <wp:inline distT="0" distB="0" distL="0" distR="0">
            <wp:extent cx="5841999" cy="3896309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1954933" cy="7973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8"/>
    </w:p>
    <w:bookmarkEnd w:id="27"/>
    <w:bookmarkStart w:name="u144ff761" w:id="29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我们的规则是：AI 的所有输出分为两类。不改变数据的输出——回答、分析、建议——直接给出，但必须带来源；会改变数据的操作——批量应用模板、修改参数、生成文档——一律先进入“</w:t>
      </w:r>
      <w:r>
        <w:rPr>
          <w:rFonts w:ascii="宋体" w:hAnsi="Times New Roman" w:eastAsia="宋体"/>
          <w:b/>
          <w:i w:val="false"/>
          <w:color w:val="004347"/>
          <w:sz w:val="22"/>
        </w:rPr>
        <w:t>预览确认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”环节，明确列出准备执行什么、影响范围多大、依据来源是什么，人工点击确认后才真正执行。</w:t>
      </w:r>
    </w:p>
    <w:bookmarkEnd w:id="29"/>
    <w:bookmarkStart w:name="u391a5b62" w:id="30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这套机制有两个收益。表层收益是安全：误操作被预览环节拦截，影响范围在执行前可见。深层收益是组织性的：签认制度由此才成立——审核人员签认的是“经人确认的内容”，责任链完整；AI 在流程中的角色是“把</w:t>
      </w:r>
      <w:r>
        <w:rPr>
          <w:rFonts w:ascii="宋体" w:hAnsi="Times New Roman" w:eastAsia="宋体"/>
          <w:b/>
          <w:i w:val="false"/>
          <w:color w:val="004347"/>
          <w:sz w:val="22"/>
        </w:rPr>
        <w:t>人从信息搬运中解放出来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”，而不是“替人思考”。这也是我们对“</w:t>
      </w:r>
      <w:r>
        <w:rPr>
          <w:rFonts w:ascii="宋体" w:hAnsi="Times New Roman" w:eastAsia="宋体"/>
          <w:b/>
          <w:i w:val="false"/>
          <w:color w:val="004347"/>
          <w:sz w:val="22"/>
        </w:rPr>
        <w:t>人机协同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”四个字的理解：协同的前提是各自的角色边界清晰。</w:t>
      </w:r>
    </w:p>
    <w:bookmarkEnd w:id="30"/>
    <w:bookmarkStart w:name="u8a2c9c8c" w:id="31"/>
    <w:p>
      <w:pPr>
        <w:spacing w:after="50" w:line="360" w:lineRule="auto" w:beforeLines="100"/>
        <w:ind w:left="0"/>
        <w:jc w:val="left"/>
      </w:pPr>
      <w:bookmarkStart w:name="u389a11c6" w:id="32"/>
      <w:r>
        <w:rPr>
          <w:rFonts w:eastAsia="宋体" w:ascii="宋体"/>
        </w:rPr>
        <w:drawing>
          <wp:inline distT="0" distB="0" distL="0" distR="0">
            <wp:extent cx="5842000" cy="1372859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238133" cy="4050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2"/>
    </w:p>
    <w:bookmarkEnd w:id="31"/>
    <w:bookmarkStart w:name="udd5c6ec9" w:id="33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熟悉我们产品线的读者可能会发现，这套原则不是为标书平台单独发明的。光伏运维场景里，诊断 Agent 给出的是“</w:t>
      </w:r>
      <w:r>
        <w:rPr>
          <w:rFonts w:ascii="宋体" w:hAnsi="Times New Roman" w:eastAsia="宋体"/>
          <w:b/>
          <w:i w:val="false"/>
          <w:color w:val="004347"/>
          <w:sz w:val="22"/>
        </w:rPr>
        <w:t>组串 IV 曲线异常，疑似热斑，建议现场核查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”——建议权在 AI，处置权在运维人员；零碳园区场景里，调度 Agent 的每一次策略调整都有依据可查、有记录可审。文档智能体与运维智能体，共享的是同一套协作哲学：</w:t>
      </w:r>
      <w:r>
        <w:rPr>
          <w:rFonts w:ascii="宋体" w:hAnsi="Times New Roman" w:eastAsia="宋体"/>
          <w:b/>
          <w:i w:val="false"/>
          <w:color w:val="004347"/>
          <w:sz w:val="22"/>
        </w:rPr>
        <w:t>感知充分、结论可溯、执行有闸。</w:t>
      </w:r>
    </w:p>
    <w:bookmarkEnd w:id="33"/>
    <w:bookmarkStart w:name="u4cae5010" w:id="34"/>
    <w:p>
      <w:pPr>
        <w:spacing w:after="50" w:line="360" w:lineRule="auto" w:beforeLines="100"/>
        <w:ind w:left="0"/>
        <w:jc w:val="left"/>
      </w:pPr>
      <w:bookmarkStart w:name="u6e5928b3" w:id="35"/>
      <w:r>
        <w:rPr>
          <w:rFonts w:eastAsia="宋体" w:ascii="宋体"/>
        </w:rPr>
        <w:drawing>
          <wp:inline distT="0" distB="0" distL="0" distR="0">
            <wp:extent cx="5841999" cy="3896309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1954933" cy="7973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5"/>
    </w:p>
    <w:bookmarkEnd w:id="34"/>
    <w:bookmarkStart w:name="uf3c44474" w:id="36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我们把这个叫做“</w:t>
      </w:r>
      <w:r>
        <w:rPr>
          <w:rFonts w:ascii="宋体" w:hAnsi="Times New Roman" w:eastAsia="宋体"/>
          <w:b/>
          <w:i w:val="false"/>
          <w:color w:val="004347"/>
          <w:sz w:val="22"/>
        </w:rPr>
        <w:t>电网思维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”——电力行业的设备要求可观测、可追溯、可控制，人对系统的信任也建立在这三件事上。AI 系统要进入这个行业，就得按同样的标准被审视。</w:t>
      </w:r>
    </w:p>
    <w:bookmarkEnd w:id="36"/>
    <w:bookmarkStart w:name="u05e9a8e8" w:id="37"/>
    <w:p>
      <w:pPr>
        <w:spacing w:after="50" w:line="360" w:lineRule="auto" w:beforeLines="100"/>
        <w:ind w:left="0"/>
        <w:jc w:val="left"/>
      </w:pPr>
      <w:bookmarkStart w:name="u9dc4987d" w:id="38"/>
      <w:r>
        <w:rPr>
          <w:rFonts w:eastAsia="宋体" w:ascii="宋体"/>
        </w:rPr>
        <w:drawing>
          <wp:inline distT="0" distB="0" distL="0" distR="0">
            <wp:extent cx="5842000" cy="1302756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492133" cy="3900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8"/>
    </w:p>
    <w:bookmarkEnd w:id="37"/>
    <w:bookmarkStart w:name="u840bf498" w:id="39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今年九月，我们在第4届“中国电器之都”电力产业及新能源展览会上公开演示了这套标书 AI 智能体平台，现场接待了大量同行企业的体验与追问。我们被问得最多的问题不是“AI 能写多快”，而是“</w:t>
      </w:r>
      <w:r>
        <w:rPr>
          <w:rFonts w:ascii="宋体" w:hAnsi="Times New Roman" w:eastAsia="宋体"/>
          <w:b/>
          <w:i w:val="false"/>
          <w:color w:val="004347"/>
          <w:sz w:val="22"/>
        </w:rPr>
        <w:t>它的结论我凭什么信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”——这个问题恰好是这三条设计原则要回答的。</w:t>
      </w:r>
    </w:p>
    <w:bookmarkEnd w:id="39"/>
    <w:bookmarkStart w:name="uff4c6b20" w:id="40"/>
    <w:p>
      <w:pPr>
        <w:spacing w:after="50" w:line="360" w:lineRule="auto" w:beforeLines="100"/>
        <w:ind w:left="0"/>
        <w:jc w:val="left"/>
      </w:pPr>
      <w:bookmarkStart w:name="uda211ac9" w:id="41"/>
      <w:r>
        <w:rPr>
          <w:rFonts w:eastAsia="宋体" w:ascii="宋体"/>
        </w:rPr>
        <w:drawing>
          <wp:inline distT="0" distB="0" distL="0" distR="0">
            <wp:extent cx="5841999" cy="3896309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1954933" cy="7973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41"/>
    </w:p>
    <w:bookmarkEnd w:id="40"/>
    <w:bookmarkStart w:name="ued69d884" w:id="42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AI 进入严肃行业，靠的不是演示日的效果，而是产品里每一处“必须先确认”“可以查原文”“低置信度单独标出”的设计细节。这些细节不性感，但决定了 AI 在这个行业里到底是工具，还是隐患。</w:t>
      </w:r>
    </w:p>
    <w:bookmarkEnd w:id="42"/>
    <w:bookmarkStart w:name="u45786ed1" w:id="43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系列至此三篇完结：第一篇讲解析，把非结构化文档变成可验证的数据；第二篇讲质量，把管控要求变成流程闸门；这一篇讲协作，把 AI 的角色边界画清楚。三篇合起来，是我们对“</w:t>
      </w:r>
      <w:r>
        <w:rPr>
          <w:rFonts w:ascii="宋体" w:hAnsi="Times New Roman" w:eastAsia="宋体"/>
          <w:b/>
          <w:i w:val="false"/>
          <w:color w:val="004347"/>
          <w:sz w:val="22"/>
        </w:rPr>
        <w:t>电力行业 + AI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”这件事的完整答案：A</w:t>
      </w:r>
      <w:r>
        <w:rPr>
          <w:rFonts w:ascii="宋体" w:hAnsi="Times New Roman" w:eastAsia="宋体"/>
          <w:b/>
          <w:i w:val="false"/>
          <w:color w:val="004347"/>
          <w:sz w:val="22"/>
        </w:rPr>
        <w:t>I 负责效率，系统负责可靠，人负责拍板。</w:t>
      </w:r>
    </w:p>
    <w:bookmarkEnd w:id="43"/>
    <w:bookmarkStart w:name="u6b3db0d3" w:id="44"/>
    <w:p>
      <w:pPr>
        <w:spacing w:after="50" w:line="360" w:lineRule="auto" w:beforeLines="100"/>
        <w:ind w:left="0"/>
        <w:jc w:val="left"/>
      </w:pPr>
      <w:bookmarkStart w:name="HF6a8" w:id="45"/>
      <w:r>
        <w:rPr>
          <w:rFonts w:eastAsia="宋体" w:ascii="宋体"/>
        </w:rPr>
        <w:drawing>
          <wp:inline distT="0" distB="0" distL="0" distR="0">
            <wp:extent cx="5842000" cy="1618164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789334" cy="2157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45"/>
    </w:p>
    <w:bookmarkEnd w:id="44"/>
    <w:bookmarkStart w:name="u8d2b3d07" w:id="46"/>
    <w:p>
      <w:pPr>
        <w:spacing w:after="50" w:line="360" w:lineRule="auto" w:beforeLines="100"/>
        <w:ind w:left="0"/>
        <w:jc w:val="left"/>
      </w:pPr>
      <w:bookmarkStart w:name="ue00a6830" w:id="47"/>
      <w:r>
        <w:rPr>
          <w:rFonts w:eastAsia="宋体" w:ascii="宋体"/>
        </w:rPr>
        <w:drawing>
          <wp:inline distT="0" distB="0" distL="0" distR="0">
            <wp:extent cx="5842000" cy="8009382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0" cy="28206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47"/>
    </w:p>
    <w:bookmarkEnd w:id="46"/>
    <w:bookmarkStart w:name="ubd68c99d" w:id="48"/>
    <w:p>
      <w:pPr>
        <w:spacing w:after="50" w:line="360" w:lineRule="auto" w:beforeLines="100"/>
        <w:ind w:left="0"/>
        <w:jc w:val="left"/>
      </w:pPr>
      <w:bookmarkStart w:name="pdHGx" w:id="49"/>
      <w:r>
        <w:rPr>
          <w:rFonts w:eastAsia="宋体" w:ascii="宋体"/>
        </w:rPr>
        <w:drawing>
          <wp:inline distT="0" distB="0" distL="0" distR="0">
            <wp:extent cx="5841999" cy="479037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872134" cy="809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49"/>
    </w:p>
    <w:bookmarkEnd w:id="48"/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宋体" w:eastAsia="宋体"/>
      <w:b/>
      <w:bCs/>
      <w:color w:val="000000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宋体" w:eastAsia="宋体"/>
      <w:b/>
      <w:bCs/>
      <w:color w:val="000000"/>
      <w:sz w:val="3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宋体" w:eastAsia="宋体"/>
      <w:b/>
      <w:bCs/>
      <w:color w:val="000000"/>
      <w:sz w:val="3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宋体" w:eastAsia="宋体"/>
      <w:b/>
      <w:bCs/>
      <w:color w:val="000000"/>
      <w:sz w:val="30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41CD9"/>
    <w:pPr>
      <w:keepNext/>
      <w:keepLines/>
      <w:spacing w:before="200"/>
      <w:outlineLvl w:val="4"/>
    </w:pPr>
    <w:rPr>
      <w:rFonts w:ascii="宋体" w:eastAsia="宋体"/>
      <w:b/>
      <w:bCs/>
      <w:color w:val="000000"/>
      <w:sz w:val="28"/>
    </w:rPr>
  </w:style>
  <w:style w:type="paragraph" w:styleId="ne-codeblock"/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media/document_image_rId10.png" Type="http://schemas.openxmlformats.org/officeDocument/2006/relationships/image"/><Relationship Id="rId11" Target="media/document_image_rId11.png" Type="http://schemas.openxmlformats.org/officeDocument/2006/relationships/image"/><Relationship Id="rId12" Target="https://thingcom.yuque.com/dmfcly/lf3dyp/wm3q8xabm4d63v8n#VHbma" TargetMode="External" Type="http://schemas.openxmlformats.org/officeDocument/2006/relationships/hyperlink"/><Relationship Id="rId13" Target="media/document_image_rId13.png" Type="http://schemas.openxmlformats.org/officeDocument/2006/relationships/image"/><Relationship Id="rId14" Target="media/document_image_rId14.png" Type="http://schemas.openxmlformats.org/officeDocument/2006/relationships/image"/><Relationship Id="rId15" Target="media/document_image_rId15.png" Type="http://schemas.openxmlformats.org/officeDocument/2006/relationships/image"/><Relationship Id="rId16" Target="media/document_image_rId16.png" Type="http://schemas.openxmlformats.org/officeDocument/2006/relationships/image"/><Relationship Id="rId17" Target="media/document_image_rId17.png" Type="http://schemas.openxmlformats.org/officeDocument/2006/relationships/image"/><Relationship Id="rId18" Target="media/document_image_rId18.png" Type="http://schemas.openxmlformats.org/officeDocument/2006/relationships/image"/><Relationship Id="rId19" Target="media/document_image_rId19.png" Type="http://schemas.openxmlformats.org/officeDocument/2006/relationships/image"/><Relationship Id="rId2" Target="settings.xml" Type="http://schemas.openxmlformats.org/officeDocument/2006/relationships/settings"/><Relationship Id="rId20" Target="media/document_image_rId20.png" Type="http://schemas.openxmlformats.org/officeDocument/2006/relationships/image"/><Relationship Id="rId21" Target="media/document_image_rId21.png" Type="http://schemas.openxmlformats.org/officeDocument/2006/relationships/image"/><Relationship Id="rId3" Target="numbering.xml" Type="http://schemas.openxmlformats.org/officeDocument/2006/relationships/numbering"/><Relationship Id="rId4" Target="media/document_image_rId4.png" Type="http://schemas.openxmlformats.org/officeDocument/2006/relationships/image"/><Relationship Id="rId5" Target="media/document_image_rId5.png" Type="http://schemas.openxmlformats.org/officeDocument/2006/relationships/image"/><Relationship Id="rId6" Target="https://thingcom.yuque.com/dmfcly/lf3dyp/wm3q8xabm4d63v8n#doihq" TargetMode="External" Type="http://schemas.openxmlformats.org/officeDocument/2006/relationships/hyperlink"/><Relationship Id="rId7" Target="media/document_image_rId7.png" Type="http://schemas.openxmlformats.org/officeDocument/2006/relationships/image"/><Relationship Id="rId8" Target="media/document_image_rId8.png" Type="http://schemas.openxmlformats.org/officeDocument/2006/relationships/image"/><Relationship Id="rId9" Target="https://thingcom.yuque.com/dmfcly/lf3dyp/wm3q8xabm4d63v8n#aQovn" TargetMode="External" Type="http://schemas.openxmlformats.org/officeDocument/2006/relationships/hyperlink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