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6.png"/>
  <Override ContentType="image/png" PartName="/word/media/document_image_rId17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【轨物方案】废标不是运气问题：把标书质量管在系统里，而不是指望在细心上</w:t>
      </w:r>
    </w:p>
    <w:p>
      <w:pPr>
        <w:spacing w:after="50" w:line="360" w:lineRule="auto" w:beforeLines="100"/>
        <w:ind w:left="0"/>
        <w:jc w:val="left"/>
      </w:pPr>
      <w:bookmarkStart w:name="u7c1354d2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62cf761d" w:id="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上一篇我们讲了招标文件的解析。这一篇谈一个所有投标人都不愿意面对、但迟早都会遭遇的词：</w:t>
      </w:r>
      <w:r>
        <w:rPr>
          <w:rFonts w:ascii="宋体" w:hAnsi="Times New Roman" w:eastAsia="宋体"/>
          <w:b/>
          <w:i w:val="false"/>
          <w:color w:val="004347"/>
          <w:sz w:val="22"/>
        </w:rPr>
        <w:t>废标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</w:t>
      </w:r>
    </w:p>
    <w:bookmarkEnd w:id="2"/>
    <w:bookmarkStart w:name="u51350066" w:id="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先算一笔账。一次投标的显性投入包括标书制作的人力成本、保证金占用的资金成本、技术方案与商务报价的编制投入；隐性投入包括为此调配的团队时间，以及放弃其他商机的机会成本。而这一切的结局，可能只是评标办法里的一条否决条款：保证金晚到了一天、一份证书过期了半个月、技术响应表里一个 * 号条款没有逐条应答、投标文件没有按要求的份数封装。</w:t>
      </w:r>
    </w:p>
    <w:bookmarkEnd w:id="3"/>
    <w:bookmarkStart w:name="u43294c81" w:id="4"/>
    <w:p>
      <w:pPr>
        <w:spacing w:after="50" w:line="360" w:lineRule="auto" w:beforeLines="100"/>
        <w:ind w:left="0"/>
        <w:jc w:val="left"/>
      </w:pPr>
      <w:bookmarkStart w:name="u787c11f4" w:id="5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bookmarkEnd w:id="4"/>
    <w:bookmarkStart w:name="ubdfb8281" w:id="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这些错误有一个共同点：它们不是因为团队不会做，而是因为总有一处被漏掉。几百页招标文件里几十条约束条件，靠几个人在截止日期前的最后几天逐条人肉核对，漏掉一条只是概率问题，不是能力问题。</w:t>
      </w:r>
    </w:p>
    <w:bookmarkEnd w:id="6"/>
    <w:bookmarkStart w:name="u38735174" w:id="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所以我们的基本判断是：</w:t>
      </w:r>
      <w:r>
        <w:rPr>
          <w:rFonts w:ascii="宋体" w:hAnsi="Times New Roman" w:eastAsia="宋体"/>
          <w:b/>
          <w:i w:val="false"/>
          <w:color w:val="004347"/>
          <w:sz w:val="22"/>
        </w:rPr>
        <w:t>废标防控不能建立在个人细心之上，必须建立在系统之上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。这篇讲讲我们把这套判断工程化之后的形态。</w:t>
      </w:r>
    </w:p>
    <w:bookmarkEnd w:id="7"/>
    <w:bookmarkStart w:name="u3396527a" w:id="8"/>
    <w:p>
      <w:pPr>
        <w:spacing w:after="50" w:line="360" w:lineRule="auto" w:beforeLines="100"/>
        <w:ind w:left="0"/>
        <w:jc w:val="left"/>
      </w:pPr>
      <w:bookmarkStart w:name="ua6018d36" w:id="9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"/>
    </w:p>
    <w:bookmarkEnd w:id="8"/>
    <w:bookmarkStart w:name="u943aee40" w:id="1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要系统化管控，第一步是把“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否决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”这个笼统的词拆开。梳理大量电力行业招标文件后，我们会把否决条款归为几类，每类的管控方式完全不同：</w:t>
      </w:r>
    </w:p>
    <w:bookmarkEnd w:id="10"/>
    <w:bookmarkStart w:name="u92a5e9ac" w:id="1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资格类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：注册资本、行业资质等级、类似业绩年限、财务报表要求。这类条款的应对窗口在投标决策阶段——够不够格，投之前就该知道。</w:t>
      </w:r>
    </w:p>
    <w:bookmarkEnd w:id="11"/>
    <w:bookmarkStart w:name="u14b25102" w:id="1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商务类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：保证金金额与到账时间、投标有效期、报价上限、递交换封装份数。这类条款数量最多、最琐碎，也最容易在最后几天忙乱中出事。</w:t>
      </w:r>
    </w:p>
    <w:bookmarkEnd w:id="12"/>
    <w:bookmarkStart w:name="uaa494c10" w:id="13"/>
    <w:p>
      <w:pPr>
        <w:spacing w:after="50" w:line="360" w:lineRule="auto" w:beforeLines="100"/>
        <w:ind w:left="0"/>
        <w:jc w:val="left"/>
      </w:pPr>
      <w:bookmarkStart w:name="ue463475d" w:id="14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"/>
    </w:p>
    <w:bookmarkEnd w:id="13"/>
    <w:bookmarkStart w:name="u0b6148b3" w:id="1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技术类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：带 * 号的强制技术条款，存在负偏离即否决。这类条款风险最高，因为它们埋在几十页技术规范书里，需要逐条应答、逐条核对偏离表。</w:t>
      </w:r>
    </w:p>
    <w:bookmarkEnd w:id="15"/>
    <w:bookmarkStart w:name="u7afaf682" w:id="1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形式类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：签署盖章要求、装订分册要求、大小写金额一致性。这类条款最“冤”——内容和方案都没问题，死在格式上。</w:t>
      </w:r>
    </w:p>
    <w:bookmarkEnd w:id="16"/>
    <w:bookmarkStart w:name="u5bed8a8b" w:id="1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分类的价值在于：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不同类别对应流程上的不同防线。资格类要在解析后立即比对；商务类要进入待办清单逐项销号；技术类要在响应表里强制标注；形式类要在定稿前做完整性检查。一张清单管所有类别的做法，等于没有清单。</w:t>
      </w:r>
    </w:p>
    <w:bookmarkEnd w:id="17"/>
    <w:bookmarkStart w:name="u2a565fd7" w:id="18"/>
    <w:p>
      <w:pPr>
        <w:spacing w:after="50" w:line="360" w:lineRule="auto" w:beforeLines="100"/>
        <w:ind w:left="0"/>
        <w:jc w:val="left"/>
      </w:pPr>
      <w:bookmarkStart w:name="u24b1e3bf" w:id="19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9"/>
    </w:p>
    <w:bookmarkEnd w:id="18"/>
    <w:bookmarkStart w:name="u87440041" w:id="2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资格类条款的核对，长期依赖员工对公司资质的家底记忆：电力工程施工资质是几级、有效期到什么时候、最近一年的审计报告在哪。人员一变动，这些记忆就断档。</w:t>
      </w:r>
    </w:p>
    <w:bookmarkEnd w:id="20"/>
    <w:bookmarkStart w:name="ub9c1ab0e" w:id="2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我们平台的做法是把企业的资质证书、业绩、财务资料沉淀为结构化的企业知识库，解析出的每一条资格要求，自动与知识库比对，产出三色结论：</w:t>
      </w:r>
      <w:r>
        <w:rPr>
          <w:rFonts w:ascii="宋体" w:hAnsi="Times New Roman" w:eastAsia="宋体"/>
          <w:b/>
          <w:i w:val="false"/>
          <w:color w:val="004347"/>
          <w:sz w:val="22"/>
        </w:rPr>
        <w:t>满足、不满足、待确认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。比对结论同时挂载两边证据——招标文件里的原文出处，和企业知识库里的证书编号、有效期。</w:t>
      </w:r>
    </w:p>
    <w:bookmarkEnd w:id="21"/>
    <w:bookmarkStart w:name="ud5575f38" w:id="22"/>
    <w:p>
      <w:pPr>
        <w:spacing w:after="50" w:line="360" w:lineRule="auto" w:beforeLines="100"/>
        <w:ind w:left="0"/>
        <w:jc w:val="left"/>
      </w:pPr>
      <w:bookmarkStart w:name="u7c5df195" w:id="23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3"/>
    </w:p>
    <w:bookmarkEnd w:id="22"/>
    <w:bookmarkStart w:name="X4a1A" w:id="2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
    此处为语雀视频卡片，点击链接查看：</w:t>
      </w:r>
      <w:hyperlink r:id="rId10">
        <w:r>
          <w:rPr>
            <w:rFonts w:ascii="宋体" w:hAnsi="Times New Roman" w:eastAsia="宋体"/>
            <w:b w:val="false"/>
            <w:i w:val="false"/>
            <w:color w:val="0000ff"/>
            <w:sz w:val="22"/>
            <w:u w:val="single"/>
          </w:rPr>
          <w:t>知识库.mp4</w:t>
        </w:r>
      </w:hyperlink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
   </w:t>
      </w:r>
    </w:p>
    <w:bookmarkEnd w:id="24"/>
    <w:bookmarkStart w:name="u661ab374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其中有效期管理值得单独说。资质证书是会过期的，而投标周期往往横跨数月。今天满足的资质，开标时可能已经失效。因此比对结果不仅回答“现在满不满足”，还标注“有效期至某日”，把未来时点的风险提前暴露出来。</w:t>
      </w:r>
    </w:p>
    <w:bookmarkEnd w:id="25"/>
    <w:bookmarkStart w:name="u5de740c9" w:id="2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比对结果的用途有两个层面：对单个项目，它直接支撑投标决策——继续做，还是放弃；对企业整体，它暴露的是资质体系的短板，哪些常被要求的资质我们长期缺失，这本身就是经营信息。</w:t>
      </w:r>
    </w:p>
    <w:bookmarkEnd w:id="26"/>
    <w:bookmarkStart w:name="u41f43138" w:id="27"/>
    <w:p>
      <w:pPr>
        <w:spacing w:after="50" w:line="360" w:lineRule="auto" w:beforeLines="100"/>
        <w:ind w:left="0"/>
        <w:jc w:val="left"/>
      </w:pPr>
      <w:bookmarkStart w:name="ua73c1a20" w:id="28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8"/>
    </w:p>
    <w:bookmarkEnd w:id="27"/>
    <w:bookmarkStart w:name="u17b54dbf" w:id="2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人工审查的老大难问题是：问题被发现了，然后呢？口头提醒、微信留言、会议记录，都挡不住忙碌中的遗忘。</w:t>
      </w:r>
    </w:p>
    <w:bookmarkEnd w:id="29"/>
    <w:bookmarkStart w:name="u01554dae" w:id="3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我们把每一条检查结论定为四级：通过、高风险、阻断风险、一般提醒。其中“</w:t>
      </w:r>
      <w:r>
        <w:rPr>
          <w:rFonts w:ascii="宋体" w:hAnsi="Times New Roman" w:eastAsia="宋体"/>
          <w:b/>
          <w:i w:val="false"/>
          <w:color w:val="004347"/>
          <w:sz w:val="22"/>
        </w:rPr>
        <w:t>阻断风险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”不是提示，而是闸门——只要存在未澄清的阻断项，项目就无法进入签认定稿环节，按钮直接置灰。想带病出稿，系统不允许。</w:t>
      </w:r>
    </w:p>
    <w:bookmarkEnd w:id="30"/>
    <w:bookmarkStart w:name="uc602b564" w:id="31"/>
    <w:p>
      <w:pPr>
        <w:spacing w:after="50" w:line="360" w:lineRule="auto" w:beforeLines="100"/>
        <w:ind w:left="0"/>
        <w:jc w:val="left"/>
      </w:pPr>
      <w:bookmarkStart w:name="ubc7034af" w:id="32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2"/>
    </w:p>
    <w:bookmarkEnd w:id="31"/>
    <w:bookmarkStart w:name="uabdf9f06" w:id="3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这套机制的本质，是把质量管理从“</w:t>
      </w:r>
      <w:r>
        <w:rPr>
          <w:rFonts w:ascii="宋体" w:hAnsi="Times New Roman" w:eastAsia="宋体"/>
          <w:b/>
          <w:i w:val="false"/>
          <w:color w:val="004347"/>
          <w:sz w:val="22"/>
        </w:rPr>
        <w:t>通知文化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”升级为“</w:t>
      </w:r>
      <w:r>
        <w:rPr>
          <w:rFonts w:ascii="宋体" w:hAnsi="Times New Roman" w:eastAsia="宋体"/>
          <w:b/>
          <w:i w:val="false"/>
          <w:color w:val="004347"/>
          <w:sz w:val="22"/>
        </w:rPr>
        <w:t>门禁文化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”。质量要求不再依赖层层传达和反复强调，而是内建在流程里：</w:t>
      </w:r>
      <w:r>
        <w:rPr>
          <w:rFonts w:ascii="宋体" w:hAnsi="Times New Roman" w:eastAsia="宋体"/>
          <w:b/>
          <w:i w:val="false"/>
          <w:color w:val="004347"/>
          <w:sz w:val="22"/>
        </w:rPr>
        <w:t>绕不过去，就是绕不过去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</w:t>
      </w:r>
    </w:p>
    <w:bookmarkEnd w:id="33"/>
    <w:bookmarkStart w:name="uea269f68" w:id="34"/>
    <w:p>
      <w:pPr>
        <w:spacing w:after="50" w:line="360" w:lineRule="auto" w:beforeLines="100"/>
        <w:ind w:left="0"/>
        <w:jc w:val="left"/>
      </w:pPr>
      <w:bookmarkStart w:name="u73ba82a6" w:id="35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5"/>
    </w:p>
    <w:bookmarkEnd w:id="34"/>
    <w:bookmarkStart w:name="u7970366c" w:id="3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还有一个容易被忽视的漏洞：</w:t>
      </w:r>
      <w:r>
        <w:rPr>
          <w:rFonts w:ascii="宋体" w:hAnsi="Times New Roman" w:eastAsia="宋体"/>
          <w:b/>
          <w:i w:val="false"/>
          <w:color w:val="004347"/>
          <w:sz w:val="22"/>
        </w:rPr>
        <w:t>审查通过的版本和最终提交的版本可能不是同一份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</w:t>
      </w:r>
    </w:p>
    <w:bookmarkEnd w:id="36"/>
    <w:bookmarkStart w:name="u635f46b9" w:id="3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标书在审查后往往还会被修改——按评审意见调整报价、补充业绩材料、替换技术方案。一旦修改，之前所有审查结论的基础就变了。但如果修改不触发重新审查，签认就成了走过场：</w:t>
      </w:r>
      <w:r>
        <w:rPr>
          <w:rFonts w:ascii="宋体" w:hAnsi="Times New Roman" w:eastAsia="宋体"/>
          <w:b/>
          <w:i w:val="false"/>
          <w:color w:val="004347"/>
          <w:sz w:val="22"/>
        </w:rPr>
        <w:t>审的是 V1，交的是 V3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</w:t>
      </w:r>
    </w:p>
    <w:bookmarkEnd w:id="37"/>
    <w:bookmarkStart w:name="ue472703b" w:id="38"/>
    <w:p>
      <w:pPr>
        <w:spacing w:after="50" w:line="360" w:lineRule="auto" w:beforeLines="100"/>
        <w:ind w:left="0"/>
        <w:jc w:val="left"/>
      </w:pPr>
      <w:bookmarkStart w:name="u1dc0914a" w:id="39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9"/>
    </w:p>
    <w:bookmarkEnd w:id="38"/>
    <w:bookmarkStart w:name="qKIu1" w:id="4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
    此处为语雀视频卡片，点击链接查看：</w:t>
      </w:r>
      <w:hyperlink r:id="rId15">
        <w:r>
          <w:rPr>
            <w:rFonts w:ascii="宋体" w:hAnsi="Times New Roman" w:eastAsia="宋体"/>
            <w:b w:val="false"/>
            <w:i w:val="false"/>
            <w:color w:val="0000ff"/>
            <w:sz w:val="22"/>
            <w:u w:val="single"/>
          </w:rPr>
          <w:t>标书审查.mp4</w:t>
        </w:r>
      </w:hyperlink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
   </w:t>
      </w:r>
    </w:p>
    <w:bookmarkEnd w:id="40"/>
    <w:bookmarkStart w:name="u19c9e6d9" w:id="4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我们的处理方式是硬性的：标书按审查反馈修改后，必须触发重新审查，检查明细按最新内容整体重新生成，原有签认自动作废，重新走“</w:t>
      </w:r>
      <w:r>
        <w:rPr>
          <w:rFonts w:ascii="宋体" w:hAnsi="Times New Roman" w:eastAsia="宋体"/>
          <w:b/>
          <w:i w:val="false"/>
          <w:color w:val="004347"/>
          <w:sz w:val="22"/>
        </w:rPr>
        <w:t>阻断清零——签认——报告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”的完整流程。签认人输入实名，即视为对商务标、技术标两份文件的审核责任。审查结论与标书版本之间的对应关系，由系统强制保证。</w:t>
      </w:r>
    </w:p>
    <w:bookmarkEnd w:id="41"/>
    <w:bookmarkStart w:name="u2ffc4526" w:id="4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这套设计借鉴的其实是制造业质量管理的成熟思想：不合格品不放行，变更必重检，放行必留痕。标书行业缺的不是这些理念，而是把理念落成流程的工具。</w:t>
      </w:r>
    </w:p>
    <w:bookmarkEnd w:id="42"/>
    <w:bookmarkStart w:name="u59c4cdb9" w:id="43"/>
    <w:p>
      <w:pPr>
        <w:spacing w:after="50" w:line="360" w:lineRule="auto" w:beforeLines="100"/>
        <w:ind w:left="0"/>
        <w:jc w:val="left"/>
      </w:pPr>
      <w:bookmarkStart w:name="u5735ce56" w:id="44"/>
      <w:r>
        <w:rPr>
          <w:rFonts w:eastAsia="宋体" w:ascii="宋体"/>
        </w:rPr>
        <w:drawing>
          <wp:inline distT="0" distB="0" distL="0" distR="0">
            <wp:extent cx="5842000" cy="130275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492133" cy="390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4"/>
    </w:p>
    <w:bookmarkEnd w:id="43"/>
    <w:bookmarkStart w:name="u5c7d7744" w:id="4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最后讲一个组织层面的问题。投标是多角色协作的事：解析遗留的异常、目录待确认项、缺失的业绩材料、过期的证书、低置信度的技术参数——这些问题分散在不同模块、不同人员手里，缺乏统一视图，是“</w:t>
      </w:r>
      <w:r>
        <w:rPr>
          <w:rFonts w:ascii="宋体" w:hAnsi="Times New Roman" w:eastAsia="宋体"/>
          <w:b/>
          <w:i w:val="false"/>
          <w:color w:val="004347"/>
          <w:sz w:val="22"/>
        </w:rPr>
        <w:t>漏项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”的组织学根源。</w:t>
      </w:r>
    </w:p>
    <w:bookmarkEnd w:id="45"/>
    <w:bookmarkStart w:name="u3c96351c" w:id="46"/>
    <w:p>
      <w:pPr>
        <w:spacing w:after="50" w:line="360" w:lineRule="auto" w:beforeLines="100"/>
        <w:ind w:left="0"/>
        <w:jc w:val="left"/>
      </w:pPr>
      <w:bookmarkStart w:name="u71abe221" w:id="47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7"/>
    </w:p>
    <w:bookmarkEnd w:id="46"/>
    <w:bookmarkStart w:name="ekLqQ" w:id="4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
    此处为语雀视频卡片，点击链接查看：</w:t>
      </w:r>
      <w:hyperlink r:id="rId18">
        <w:r>
          <w:rPr>
            <w:rFonts w:ascii="宋体" w:hAnsi="Times New Roman" w:eastAsia="宋体"/>
            <w:b w:val="false"/>
            <w:i w:val="false"/>
            <w:color w:val="0000ff"/>
            <w:sz w:val="22"/>
            <w:u w:val="single"/>
          </w:rPr>
          <w:t>案例库.mp4</w:t>
        </w:r>
      </w:hyperlink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
   </w:t>
      </w:r>
    </w:p>
    <w:bookmarkEnd w:id="48"/>
    <w:bookmarkStart w:name="ubc417ea8" w:id="4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我们把全平台所有待处理事项汇入一个集中台，按类型筛选、按阻断等级置顶排序。每一条都可以一键定位到具体项目、具体页面去处理，处理完标记销号。管理者看这一个页面，就知道所有项目的风险敞口还剩多少。</w:t>
      </w:r>
    </w:p>
    <w:bookmarkEnd w:id="49"/>
    <w:bookmarkStart w:name="u5c2401de" w:id="50"/>
    <w:p>
      <w:pPr>
        <w:spacing w:after="50" w:line="360" w:lineRule="auto" w:beforeLines="100"/>
        <w:ind w:left="0"/>
        <w:jc w:val="left"/>
      </w:pPr>
      <w:bookmarkStart w:name="u05cbbc21" w:id="51"/>
      <w:r>
        <w:rPr>
          <w:rFonts w:eastAsia="宋体" w:ascii="宋体"/>
        </w:rPr>
        <w:drawing>
          <wp:inline distT="0" distB="0" distL="0" distR="0">
            <wp:extent cx="5841999" cy="126185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458267" cy="377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1"/>
    </w:p>
    <w:bookmarkEnd w:id="50"/>
    <w:bookmarkStart w:name="u78108af5" w:id="5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投标行业的许多质量问题，根子不在人不认真，而在约束没有制度化。细心是稀缺资源，且会疲劳；系统不会。把否决条款变成分类清单，把资质家底变成可比对的知识库，把质量要求变成绕不过去的流程闸门，把审查结论锁死在特定版本上——这些做完了，废标才会从“</w:t>
      </w:r>
      <w:r>
        <w:rPr>
          <w:rFonts w:ascii="宋体" w:hAnsi="Times New Roman" w:eastAsia="宋体"/>
          <w:b/>
          <w:i w:val="false"/>
          <w:color w:val="004347"/>
          <w:sz w:val="22"/>
        </w:rPr>
        <w:t>概率事件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”变成“</w:t>
      </w:r>
      <w:r>
        <w:rPr>
          <w:rFonts w:ascii="宋体" w:hAnsi="Times New Roman" w:eastAsia="宋体"/>
          <w:b/>
          <w:i w:val="false"/>
          <w:color w:val="004347"/>
          <w:sz w:val="22"/>
        </w:rPr>
        <w:t>被管理的事件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”。</w:t>
      </w:r>
    </w:p>
    <w:bookmarkEnd w:id="52"/>
    <w:bookmarkStart w:name="ue117aca0" w:id="5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下一篇是这个系列的最后一篇，我们跳出具体功能，谈谈我们做这套系统的底层方法论：在电力行业，AI 应该怎么设计，才能真正被信任、被使用。</w:t>
      </w:r>
    </w:p>
    <w:bookmarkEnd w:id="53"/>
    <w:bookmarkStart w:name="u0bbba5d2" w:id="54"/>
    <w:p>
      <w:pPr>
        <w:spacing w:after="50" w:line="360" w:lineRule="auto" w:beforeLines="100"/>
        <w:ind w:left="0"/>
        <w:jc w:val="left"/>
      </w:pPr>
      <w:bookmarkStart w:name="HF6a8" w:id="55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5"/>
    </w:p>
    <w:bookmarkEnd w:id="54"/>
    <w:bookmarkStart w:name="u8d2b3d07" w:id="56"/>
    <w:p>
      <w:pPr>
        <w:spacing w:after="50" w:line="360" w:lineRule="auto" w:beforeLines="100"/>
        <w:ind w:left="0"/>
        <w:jc w:val="left"/>
      </w:pPr>
      <w:bookmarkStart w:name="ue00a6830" w:id="57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7"/>
    </w:p>
    <w:bookmarkEnd w:id="56"/>
    <w:bookmarkStart w:name="ubd68c99d" w:id="58"/>
    <w:p>
      <w:pPr>
        <w:spacing w:after="50" w:line="360" w:lineRule="auto" w:beforeLines="100"/>
        <w:ind w:left="0"/>
        <w:jc w:val="left"/>
      </w:pPr>
      <w:bookmarkStart w:name="pdHGx" w:id="59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9"/>
    </w:p>
    <w:bookmarkEnd w:id="58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ttps://thingcom.yuque.com/dmfcly/lf3dyp/xt5kqet6cnb1knic#X4a1A" TargetMode="External" Type="http://schemas.openxmlformats.org/officeDocument/2006/relationships/hyperlink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https://thingcom.yuque.com/dmfcly/lf3dyp/xt5kqet6cnb1knic#qKIu1" TargetMode="External" Type="http://schemas.openxmlformats.org/officeDocument/2006/relationships/hyperlink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https://thingcom.yuque.com/dmfcly/lf3dyp/xt5kqet6cnb1knic#ekLqQ" TargetMode="External" Type="http://schemas.openxmlformats.org/officeDocument/2006/relationships/hyperlink"/><Relationship Id="rId19" Target="media/document_image_rId19.png" Type="http://schemas.openxmlformats.org/officeDocument/2006/relationships/image"/><Relationship Id="rId2" Target="settings.xml" Type="http://schemas.openxmlformats.org/officeDocument/2006/relationships/settings"/><Relationship Id="rId20" Target="media/document_image_rId20.png" Type="http://schemas.openxmlformats.org/officeDocument/2006/relationships/image"/><Relationship Id="rId21" Target="media/document_image_rId21.png" Type="http://schemas.openxmlformats.org/officeDocument/2006/relationships/image"/><Relationship Id="rId22" Target="media/document_image_rId22.png" Type="http://schemas.openxmlformats.org/officeDocument/2006/relationships/image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