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6.png"/>
  <Override ContentType="image/png" PartName="/word/media/document_image_rId8.png"/>
  <Override ContentType="image/png" PartName="/word/media/document_image_rId10.png"/>
  <Override ContentType="image/png" PartName="/word/media/document_image_rId12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【轨物方案】招标文件不该用“读”的：把投标的第一道题变成结构化数据</w:t>
      </w:r>
    </w:p>
    <w:p>
      <w:pPr>
        <w:spacing w:after="50" w:line="360" w:lineRule="auto" w:beforeLines="100"/>
        <w:ind w:left="0"/>
        <w:jc w:val="left"/>
      </w:pPr>
      <w:bookmarkStart w:name="u906bc7bb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u44036747" w:id="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在电力与电气行业的投标链条里，有一个环节几乎没有被信息化改造过：</w:t>
      </w:r>
      <w:r>
        <w:rPr>
          <w:rFonts w:ascii="宋体" w:hAnsi="Times New Roman" w:eastAsia="宋体"/>
          <w:b/>
          <w:i w:val="false"/>
          <w:color w:val="004347"/>
          <w:sz w:val="22"/>
        </w:rPr>
        <w:t>读懂招标文件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</w:t>
      </w:r>
    </w:p>
    <w:bookmarkEnd w:id="2"/>
    <w:bookmarkStart w:name="u986c68f2" w:id="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销售把标书拿到手，运营同事打开一份几百页的 PDF，开始逐页翻找：投标截止时间在哪一页、资格条件有几条、否决项藏在须知前附表的哪个角落、技术规范书里的 * 号条款意味着什么。这个过程中没有任何“</w:t>
      </w:r>
      <w:r>
        <w:rPr>
          <w:rFonts w:ascii="宋体" w:hAnsi="Times New Roman" w:eastAsia="宋体"/>
          <w:b/>
          <w:i w:val="false"/>
          <w:color w:val="004347"/>
          <w:sz w:val="22"/>
        </w:rPr>
        <w:t>技术难度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”，但每一步都出错不得。一个时间看错，文件递晚了，直接出局；一条资质没核对，评标阶段被否决，前面所有投入归零。</w:t>
      </w:r>
    </w:p>
    <w:bookmarkEnd w:id="3"/>
    <w:bookmarkStart w:name="doihq" w:id="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
    此处为语雀视频卡片，点击链接查看：</w:t>
      </w:r>
      <w:hyperlink r:id="rId5">
        <w:r>
          <w:rPr>
            <w:rFonts w:ascii="宋体" w:hAnsi="Times New Roman" w:eastAsia="宋体"/>
            <w:b w:val="false"/>
            <w:i w:val="false"/>
            <w:color w:val="0000ff"/>
            <w:sz w:val="22"/>
            <w:u w:val="single"/>
          </w:rPr>
          <w:t>1.mp4</w:t>
        </w:r>
      </w:hyperlink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
   </w:t>
      </w:r>
    </w:p>
    <w:bookmarkEnd w:id="4"/>
    <w:bookmarkStart w:name="ua7c6da5d" w:id="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我们在服务电力行业十六年的过程中反复观察到一个现象：企业愿意在报价策略、业绩包装上投入大量精力，但对“</w:t>
      </w:r>
      <w:r>
        <w:rPr>
          <w:rFonts w:ascii="宋体" w:hAnsi="Times New Roman" w:eastAsia="宋体"/>
          <w:b/>
          <w:i w:val="false"/>
          <w:color w:val="004347"/>
          <w:sz w:val="22"/>
        </w:rPr>
        <w:t>把招标文件读对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”这件最基础的事，往往只依赖个别老员工的细心和经验。这不是能力问题，而是工具问题——长期以来，市面上没有一个像样的工具来解决“招标文件的理解”这件事。</w:t>
      </w:r>
    </w:p>
    <w:bookmarkEnd w:id="5"/>
    <w:bookmarkStart w:name="ub4a60641" w:id="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今年我们把这个问题产品化了。这篇文章讲讲我们的思路：</w:t>
      </w:r>
      <w:r>
        <w:rPr>
          <w:rFonts w:ascii="宋体" w:hAnsi="Times New Roman" w:eastAsia="宋体"/>
          <w:b/>
          <w:i w:val="false"/>
          <w:color w:val="004347"/>
          <w:sz w:val="22"/>
        </w:rPr>
        <w:t>为什么招标文件不该用“读”的，而应该用“解析”的。</w:t>
      </w:r>
    </w:p>
    <w:bookmarkEnd w:id="6"/>
    <w:bookmarkStart w:name="uc59f9c44" w:id="7"/>
    <w:p>
      <w:pPr>
        <w:spacing w:after="50" w:line="360" w:lineRule="auto" w:beforeLines="100"/>
        <w:ind w:left="0"/>
        <w:jc w:val="left"/>
      </w:pPr>
      <w:bookmarkStart w:name="ue95a49c5" w:id="8"/>
      <w:r>
        <w:rPr>
          <w:rFonts w:eastAsia="宋体" w:ascii="宋体"/>
        </w:rPr>
        <w:drawing>
          <wp:inline distT="0" distB="0" distL="0" distR="0">
            <wp:extent cx="5842000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392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"/>
    </w:p>
    <w:bookmarkEnd w:id="7"/>
    <w:bookmarkStart w:name="u2085cd14" w:id="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先说一个被大多数团队忽略的事实：</w:t>
      </w:r>
      <w:r>
        <w:rPr>
          <w:rFonts w:ascii="宋体" w:hAnsi="Times New Roman" w:eastAsia="宋体"/>
          <w:b/>
          <w:i w:val="false"/>
          <w:color w:val="004347"/>
          <w:sz w:val="22"/>
        </w:rPr>
        <w:t>招标文件看起来冗长随意，实际上它的结构是高度规约化的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</w:t>
      </w:r>
    </w:p>
    <w:bookmarkEnd w:id="9"/>
    <w:bookmarkStart w:name="u52fdd12d" w:id="1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依据《招标投标法》及配套规章的要求，一份标准的招标文件通常包含：招标公告、投标人须知（含前附表）、评标办法、合同条款、技术规范书、投标文件格式这几大部分。其中，投标人关心的核心信息——项目概况、资格条件、递交时间、否决条款、评分标准——在文档中的位置和表述方式都有很强的惯例性。否决项集中在“</w:t>
      </w:r>
      <w:r>
        <w:rPr>
          <w:rFonts w:ascii="宋体" w:hAnsi="Times New Roman" w:eastAsia="宋体"/>
          <w:b/>
          <w:i w:val="false"/>
          <w:color w:val="004347"/>
          <w:sz w:val="22"/>
        </w:rPr>
        <w:t>投标人须知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”和“</w:t>
      </w:r>
      <w:r>
        <w:rPr>
          <w:rFonts w:ascii="宋体" w:hAnsi="Times New Roman" w:eastAsia="宋体"/>
          <w:b/>
          <w:i w:val="false"/>
          <w:color w:val="004347"/>
          <w:sz w:val="22"/>
        </w:rPr>
        <w:t>评标办法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”里；资格条件在公告和第一章；技术要求则几乎总在技术规范书中，并多以参数表形式出现。</w:t>
      </w:r>
    </w:p>
    <w:bookmarkEnd w:id="10"/>
    <w:bookmarkStart w:name="J2ZfQ" w:id="1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
    此处为语雀视频卡片，点击链接查看：</w:t>
      </w:r>
      <w:hyperlink r:id="rId7">
        <w:r>
          <w:rPr>
            <w:rFonts w:ascii="宋体" w:hAnsi="Times New Roman" w:eastAsia="宋体"/>
            <w:b w:val="false"/>
            <w:i w:val="false"/>
            <w:color w:val="0000ff"/>
            <w:sz w:val="22"/>
            <w:u w:val="single"/>
          </w:rPr>
          <w:t>8.mp4</w:t>
        </w:r>
      </w:hyperlink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
   </w:t>
      </w:r>
    </w:p>
    <w:bookmarkEnd w:id="11"/>
    <w:bookmarkStart w:name="u2ca87ee3" w:id="1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换句话说，“读招标文件”并不是在阅读一篇自由撰写的文章，而是在一份格式化文档里做信息定位、抽取和交叉核对。这类工作恰恰是 AI 最擅长、人类最不擅长（准确说，是最容易疲劳出错）的。</w:t>
      </w:r>
    </w:p>
    <w:bookmarkEnd w:id="12"/>
    <w:bookmarkStart w:name="u542136c9" w:id="1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因此，我们把标书辅助 AI 智能体平台的第一步，设计成一条</w:t>
      </w:r>
      <w:r>
        <w:rPr>
          <w:rFonts w:ascii="宋体" w:hAnsi="Times New Roman" w:eastAsia="宋体"/>
          <w:b/>
          <w:i w:val="false"/>
          <w:color w:val="004347"/>
          <w:sz w:val="22"/>
        </w:rPr>
        <w:t>解析流水线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，而不是一个问答框。</w:t>
      </w:r>
    </w:p>
    <w:bookmarkEnd w:id="13"/>
    <w:bookmarkStart w:name="u40679886" w:id="14"/>
    <w:p>
      <w:pPr>
        <w:spacing w:after="50" w:line="360" w:lineRule="auto" w:beforeLines="100"/>
        <w:ind w:left="0"/>
        <w:jc w:val="left"/>
      </w:pPr>
      <w:bookmarkStart w:name="u35d554c6" w:id="15"/>
      <w:r>
        <w:rPr>
          <w:rFonts w:eastAsia="宋体" w:ascii="宋体"/>
        </w:rPr>
        <w:drawing>
          <wp:inline distT="0" distB="0" distL="0" distR="0">
            <wp:extent cx="5841999" cy="137280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559867" cy="4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5"/>
    </w:p>
    <w:bookmarkEnd w:id="14"/>
    <w:bookmarkStart w:name="uf0d7aa42" w:id="1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传统工具的做法是“</w:t>
      </w:r>
      <w:r>
        <w:rPr>
          <w:rFonts w:ascii="宋体" w:hAnsi="Times New Roman" w:eastAsia="宋体"/>
          <w:b/>
          <w:i w:val="false"/>
          <w:color w:val="004347"/>
          <w:sz w:val="22"/>
        </w:rPr>
        <w:t>上传文件，问它问题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”。我们的做法不同：用户把招标公告、招标文件正文、技术规范书一次性上传（支持压缩包，系统递归解压），平台按固定流水线自动执行一套完整的解析任务：</w:t>
      </w:r>
    </w:p>
    <w:bookmarkEnd w:id="16"/>
    <w:bookmarkStart w:name="ude521307" w:id="17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文件检查与分类：识别上传的多个文件各自是什么角色；</w:t>
      </w:r>
    </w:p>
    <w:bookmarkEnd w:id="17"/>
    <w:bookmarkStart w:name="u45180a4a" w:id="18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招标公告识别与项目信息提取：项目名称、招标单位、投标截止时间、开标时间、包数量与制作维度；</w:t>
      </w:r>
    </w:p>
    <w:bookmarkEnd w:id="18"/>
    <w:bookmarkStart w:name="u86053d43" w:id="19"/>
    <w:p>
      <w:pPr>
        <w:numPr>
          <w:ilvl w:val="0"/>
          <w:numId w:val="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时间节点提取：所有有明确时限要求的事项集中归置；</w:t>
      </w:r>
    </w:p>
    <w:bookmarkEnd w:id="19"/>
    <w:bookmarkStart w:name="ud446b7b6" w:id="20"/>
    <w:p>
      <w:pPr>
        <w:numPr>
          <w:ilvl w:val="0"/>
          <w:numId w:val="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资格要求提取：把散落在公告、须知、评标办法里的资格条件逐条拉出来；</w:t>
      </w:r>
    </w:p>
    <w:bookmarkEnd w:id="20"/>
    <w:bookmarkStart w:name="u2c314269" w:id="21"/>
    <w:p>
      <w:pPr>
        <w:numPr>
          <w:ilvl w:val="0"/>
          <w:numId w:val="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否决项提取：从须知前附表、评标办法、技术规范书里找出所有"出现即出局"的条款；</w:t>
      </w:r>
    </w:p>
    <w:bookmarkEnd w:id="21"/>
    <w:bookmarkStart w:name="udb091bd7" w:id="22"/>
    <w:p>
      <w:pPr>
        <w:numPr>
          <w:ilvl w:val="0"/>
          <w:numId w:val="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评分办法与技术参数表提取：为后续商务册、技术册的编制准备素材；</w:t>
      </w:r>
    </w:p>
    <w:bookmarkEnd w:id="22"/>
    <w:bookmarkStart w:name="u5fb1b3c6" w:id="23"/>
    <w:p>
      <w:pPr>
        <w:numPr>
          <w:ilvl w:val="0"/>
          <w:numId w:val="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目录格式识别：商务标、技术标各自的章节骨架。</w:t>
      </w:r>
    </w:p>
    <w:bookmarkEnd w:id="23"/>
    <w:bookmarkStart w:name="cQHBy" w:id="2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
    此处为语雀视频卡片，点击链接查看：</w:t>
      </w:r>
      <w:hyperlink r:id="rId9">
        <w:r>
          <w:rPr>
            <w:rFonts w:ascii="宋体" w:hAnsi="Times New Roman" w:eastAsia="宋体"/>
            <w:b w:val="false"/>
            <w:i w:val="false"/>
            <w:color w:val="0000ff"/>
            <w:sz w:val="22"/>
            <w:u w:val="single"/>
          </w:rPr>
          <w:t>9.mp4</w:t>
        </w:r>
      </w:hyperlink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
   </w:t>
      </w:r>
    </w:p>
    <w:bookmarkEnd w:id="24"/>
    <w:bookmarkStart w:name="uf7f5b8a3" w:id="2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这条流水线跑完，用户看到的不是一份</w:t>
      </w:r>
      <w:r>
        <w:rPr>
          <w:rFonts w:ascii="宋体" w:hAnsi="Times New Roman" w:eastAsia="宋体"/>
          <w:b/>
          <w:i w:val="false"/>
          <w:color w:val="004347"/>
          <w:sz w:val="22"/>
        </w:rPr>
        <w:t>“AI 总结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”，而是一张结构化的项目底表：每一个字段旁边，都有一个“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原文定位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”按钮。</w:t>
      </w:r>
    </w:p>
    <w:bookmarkEnd w:id="25"/>
    <w:bookmarkStart w:name="ucb10e9c1" w:id="26"/>
    <w:p>
      <w:pPr>
        <w:spacing w:after="50" w:line="360" w:lineRule="auto" w:beforeLines="100"/>
        <w:ind w:left="0"/>
        <w:jc w:val="left"/>
      </w:pPr>
      <w:bookmarkStart w:name="ua94a2983" w:id="27"/>
      <w:r>
        <w:rPr>
          <w:rFonts w:eastAsia="宋体" w:ascii="宋体"/>
        </w:rPr>
        <w:drawing>
          <wp:inline distT="0" distB="0" distL="0" distR="0">
            <wp:extent cx="5842000" cy="13435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40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7"/>
    </w:p>
    <w:bookmarkEnd w:id="26"/>
    <w:bookmarkStart w:name="ue4001dd1" w:id="2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这里要专门讲一个我们认为比“解析准确率”更重要的设计：</w:t>
      </w:r>
      <w:r>
        <w:rPr>
          <w:rFonts w:ascii="宋体" w:hAnsi="Times New Roman" w:eastAsia="宋体"/>
          <w:b/>
          <w:i w:val="false"/>
          <w:color w:val="004347"/>
          <w:sz w:val="22"/>
        </w:rPr>
        <w:t>原文回溯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</w:t>
      </w:r>
    </w:p>
    <w:bookmarkEnd w:id="28"/>
    <w:bookmarkStart w:name="uc9c90957" w:id="2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AI 解析任何文档都有出错的可能，这一点必须坦率承认。市面上很多工具的应对方式是回避——只给结论，不给依据，用户只能选择信或不信。我们的做法是反过来的：解析结果的每一个字段，都强制挂载它的证据来源——出自哪份文件、哪一页、哪个章节，同时给出 AI 对这条抽取结果的置信度。用户点开“原文定位”，右侧抽屉直接展示招标文件原文。</w:t>
      </w:r>
    </w:p>
    <w:bookmarkEnd w:id="29"/>
    <w:bookmarkStart w:name="VHbma" w:id="3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
    此处为语雀视频卡片，点击链接查看：</w:t>
      </w:r>
      <w:hyperlink r:id="rId11">
        <w:r>
          <w:rPr>
            <w:rFonts w:ascii="宋体" w:hAnsi="Times New Roman" w:eastAsia="宋体"/>
            <w:b w:val="false"/>
            <w:i w:val="false"/>
            <w:color w:val="0000ff"/>
            <w:sz w:val="22"/>
            <w:u w:val="single"/>
          </w:rPr>
          <w:t>666.mp4</w:t>
        </w:r>
      </w:hyperlink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
   </w:t>
      </w:r>
    </w:p>
    <w:bookmarkEnd w:id="30"/>
    <w:bookmarkStart w:name="uaedb2849" w:id="3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这个设计改变了人与 AI 的协作关系。用户不再需要“</w:t>
      </w:r>
      <w:r>
        <w:rPr>
          <w:rFonts w:ascii="宋体" w:hAnsi="Times New Roman" w:eastAsia="宋体"/>
          <w:b/>
          <w:i w:val="false"/>
          <w:color w:val="004347"/>
          <w:sz w:val="22"/>
        </w:rPr>
        <w:t>信任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”AI，而只需要“</w:t>
      </w:r>
      <w:r>
        <w:rPr>
          <w:rFonts w:ascii="宋体" w:hAnsi="Times New Roman" w:eastAsia="宋体"/>
          <w:b/>
          <w:i w:val="false"/>
          <w:color w:val="004347"/>
          <w:sz w:val="22"/>
        </w:rPr>
        <w:t>核对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”AI——核对一条有出处的结论，比从零读一份文件快一个数量级，但可靠性等价于人工阅读。用行话说，我们把 AI 从“黑盒答案机”变成了“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带引用的初级分析员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”：它把信息找出来、摆整齐、标注出处，判断权始终留在人手里。</w:t>
      </w:r>
    </w:p>
    <w:bookmarkEnd w:id="31"/>
    <w:bookmarkStart w:name="u669e5fb5" w:id="3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这也顺带解决了另一个现实问题：投标团队内部的责任划分。当项目信息、时间节点都有明确的文件出处时，后续任何环节的争议都可以快速定责——是文件里就这么写的，还是解析出错了，一目了然。</w:t>
      </w:r>
    </w:p>
    <w:bookmarkEnd w:id="32"/>
    <w:bookmarkStart w:name="u1e1a544b" w:id="33"/>
    <w:p>
      <w:pPr>
        <w:spacing w:after="50" w:line="360" w:lineRule="auto" w:beforeLines="100"/>
        <w:ind w:left="0"/>
        <w:jc w:val="left"/>
      </w:pPr>
      <w:bookmarkStart w:name="u0987c4f5" w:id="34"/>
      <w:r>
        <w:rPr>
          <w:rFonts w:eastAsia="宋体" w:ascii="宋体"/>
        </w:rPr>
        <w:drawing>
          <wp:inline distT="0" distB="0" distL="0" distR="0">
            <wp:extent cx="5842000" cy="137285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38133" cy="405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4"/>
    </w:p>
    <w:bookmarkEnd w:id="33"/>
    <w:bookmarkStart w:name="ua635f993" w:id="3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很多工具把解析当成终点：给你一份摘要，完事。但我们认为，解析真正的价值在于它派生出后续整个投标流程的起点。</w:t>
      </w:r>
    </w:p>
    <w:bookmarkEnd w:id="35"/>
    <w:bookmarkStart w:name="u2c260a61" w:id="3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解析完成并经人工确认后，系统直接以解析结果创建投标项目：项目信息、时间节点自动写入项目档案；技术规范 ID 与参数表进入技术响应模块；商务册、技术册的目录骨架在编制第一步生成待确认清单；资质比对中发现的缺口自动进入待办。也就是说，从"</w:t>
      </w:r>
      <w:r>
        <w:rPr>
          <w:rFonts w:ascii="宋体" w:hAnsi="Times New Roman" w:eastAsia="宋体"/>
          <w:b/>
          <w:i w:val="false"/>
          <w:color w:val="000000"/>
          <w:sz w:val="22"/>
        </w:rPr>
        <w:t>上传文件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"到"</w:t>
      </w:r>
      <w:r>
        <w:rPr>
          <w:rFonts w:ascii="宋体" w:hAnsi="Times New Roman" w:eastAsia="宋体"/>
          <w:b/>
          <w:i w:val="false"/>
          <w:color w:val="000000"/>
          <w:sz w:val="22"/>
        </w:rPr>
        <w:t>开始写标书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"，中间不再需要任何手工搬运——信息只解析一次，全流程复用。</w:t>
      </w:r>
    </w:p>
    <w:bookmarkEnd w:id="36"/>
    <w:bookmarkStart w:name="uLErP" w:id="3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
    此处为语雀视频卡片，点击链接查看：</w:t>
      </w:r>
      <w:hyperlink r:id="rId13">
        <w:r>
          <w:rPr>
            <w:rFonts w:ascii="宋体" w:hAnsi="Times New Roman" w:eastAsia="宋体"/>
            <w:b w:val="false"/>
            <w:i w:val="false"/>
            <w:color w:val="0000ff"/>
            <w:sz w:val="22"/>
            <w:u w:val="single"/>
          </w:rPr>
          <w:t>09.mp4</w:t>
        </w:r>
      </w:hyperlink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
   </w:t>
      </w:r>
    </w:p>
    <w:bookmarkEnd w:id="37"/>
    <w:bookmarkStart w:name="u096bbd09" w:id="3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这个衔接看似只是省了几步操作，实际改变的是工作模式：过去“</w:t>
      </w:r>
      <w:r>
        <w:rPr>
          <w:rFonts w:ascii="宋体" w:hAnsi="Times New Roman" w:eastAsia="宋体"/>
          <w:b/>
          <w:i w:val="false"/>
          <w:color w:val="000000"/>
          <w:sz w:val="22"/>
        </w:rPr>
        <w:t>读文件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”和“</w:t>
      </w:r>
      <w:r>
        <w:rPr>
          <w:rFonts w:ascii="宋体" w:hAnsi="Times New Roman" w:eastAsia="宋体"/>
          <w:b/>
          <w:i w:val="false"/>
          <w:color w:val="000000"/>
          <w:sz w:val="22"/>
        </w:rPr>
        <w:t>写标书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”是两个割裂的阶段，靠人脑衔接；现在它们是一条流水线上相邻的两站。</w:t>
      </w:r>
    </w:p>
    <w:bookmarkEnd w:id="38"/>
    <w:bookmarkStart w:name="u8b0c75a8" w:id="39"/>
    <w:p>
      <w:pPr>
        <w:spacing w:after="50" w:line="360" w:lineRule="auto" w:beforeLines="100"/>
        <w:ind w:left="0"/>
        <w:jc w:val="left"/>
      </w:pPr>
      <w:bookmarkStart w:name="u724af531" w:id="40"/>
      <w:r>
        <w:rPr>
          <w:rFonts w:eastAsia="宋体" w:ascii="宋体"/>
        </w:rPr>
        <w:drawing>
          <wp:inline distT="0" distB="0" distL="0" distR="0">
            <wp:extent cx="5842000" cy="130275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492133" cy="390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0"/>
    </w:p>
    <w:bookmarkEnd w:id="39"/>
    <w:bookmarkStart w:name="uf22a6347" w:id="4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解析准确率能到多少？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我们不宣传某个具体百分比。电力行业招标文件来源多样、格式差异大，任何给出固定准确率承诺的产品都值得警惕。我们的答案是另一套机制：关键结果全部带原文定位和置信度，人工核对成本低到可以全覆盖，准确性由"AI 提取 + 人工确认"共同保证。</w:t>
      </w:r>
    </w:p>
    <w:bookmarkEnd w:id="41"/>
    <w:bookmarkStart w:name="u129e7498" w:id="4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格式怪异的文件怎么办？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流水线第一步就是文件检查与分类，支持压缩包递归解压，公告、正文、技术规范书、图片扫描件可以混合上传合并解析。真实的投标文件从来不是规整的单个 PDF，工具必须适应现实，而不是要求现实适应工具。</w:t>
      </w:r>
    </w:p>
    <w:bookmarkEnd w:id="42"/>
    <w:bookmarkStart w:name="ua20e4ec4" w:id="43"/>
    <w:p>
      <w:pPr>
        <w:spacing w:after="50" w:line="360" w:lineRule="auto" w:beforeLines="100"/>
        <w:ind w:left="0"/>
        <w:jc w:val="left"/>
      </w:pPr>
      <w:bookmarkStart w:name="ud8532170" w:id="44"/>
      <w:r>
        <w:rPr>
          <w:rFonts w:eastAsia="宋体" w:ascii="宋体"/>
        </w:rPr>
        <w:drawing>
          <wp:inline distT="0" distB="0" distL="0" distR="0">
            <wp:extent cx="5842000" cy="389631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7466" cy="398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4"/>
    </w:p>
    <w:bookmarkEnd w:id="43"/>
    <w:bookmarkStart w:name="ubfa05c76" w:id="4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会不会被 AI 误导？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 xml:space="preserve"> 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这是我们投入设计精力最多的地方。解析结果必须经人工确认才能创建项目；否决项、资质比对这类高风险输出，全部要求可回溯；涉及修改的操作一律先预览再执行。AI 的角色是把这些信息从几百页纸里捞出来摆好，而不是替人做决定。</w:t>
      </w:r>
    </w:p>
    <w:bookmarkEnd w:id="45"/>
    <w:bookmarkStart w:name="u66391f0f" w:id="46"/>
    <w:p>
      <w:pPr>
        <w:spacing w:after="50" w:line="360" w:lineRule="auto" w:beforeLines="100"/>
        <w:ind w:left="0"/>
        <w:jc w:val="left"/>
      </w:pPr>
      <w:bookmarkStart w:name="uce737f51" w:id="47"/>
      <w:r>
        <w:rPr>
          <w:rFonts w:eastAsia="宋体" w:ascii="宋体"/>
        </w:rPr>
        <w:drawing>
          <wp:inline distT="0" distB="0" distL="0" distR="0">
            <wp:extent cx="5841999" cy="126185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458267" cy="377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7"/>
    </w:p>
    <w:bookmarkEnd w:id="46"/>
    <w:bookmarkStart w:name="u61fd8f45" w:id="4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投标是一个高度依赖细节准确性的行业动作，而细节恰恰埋在最不性感的工作里——读文件、对条款、核时间。我们相信，AI 在这个行业的价值，首先不在于写出一篇漂亮的方案，而在于把这类基础工作工程化：让每一次解析可验证，让每一条结论有出处，让"读对招标文件"从个人经验变成系统能力。</w:t>
      </w:r>
    </w:p>
    <w:bookmarkEnd w:id="48"/>
    <w:bookmarkStart w:name="u5ccf4f12" w:id="4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这只是系列的第一篇。下一篇我们谈投标里最沉重的词：废标——以及为什么质量管控必须靠系统，而不是靠细心。</w:t>
      </w:r>
    </w:p>
    <w:bookmarkEnd w:id="49"/>
    <w:bookmarkStart w:name="u64b5ae80" w:id="50"/>
    <w:p>
      <w:pPr>
        <w:spacing w:after="50" w:line="360" w:lineRule="auto" w:beforeLines="100"/>
        <w:ind w:left="0"/>
        <w:jc w:val="left"/>
      </w:pPr>
      <w:bookmarkStart w:name="HF6a8" w:id="51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1"/>
    </w:p>
    <w:bookmarkEnd w:id="50"/>
    <w:bookmarkStart w:name="u8d2b3d07" w:id="52"/>
    <w:p>
      <w:pPr>
        <w:spacing w:after="50" w:line="360" w:lineRule="auto" w:beforeLines="100"/>
        <w:ind w:left="0"/>
        <w:jc w:val="left"/>
      </w:pPr>
      <w:bookmarkStart w:name="ue00a6830" w:id="53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3"/>
    </w:p>
    <w:bookmarkEnd w:id="52"/>
    <w:bookmarkStart w:name="ubd68c99d" w:id="54"/>
    <w:p>
      <w:pPr>
        <w:spacing w:after="50" w:line="360" w:lineRule="auto" w:beforeLines="100"/>
        <w:ind w:left="0"/>
        <w:jc w:val="left"/>
      </w:pPr>
      <w:bookmarkStart w:name="pdHGx" w:id="55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5"/>
    </w:p>
    <w:bookmarkEnd w:id="54"/>
    <w:bookmarkStart w:name="u71f81daa" w:id="56"/>
    <w:bookmarkEnd w:id="56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7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https://thingcom.yuque.com/dmfcly/lf3dyp/fkd0yubd8d7sdadc#VHbma" TargetMode="External" Type="http://schemas.openxmlformats.org/officeDocument/2006/relationships/hyperlink"/><Relationship Id="rId12" Target="media/document_image_rId12.png" Type="http://schemas.openxmlformats.org/officeDocument/2006/relationships/image"/><Relationship Id="rId13" Target="https://thingcom.yuque.com/dmfcly/lf3dyp/fkd0yubd8d7sdadc#uLErP" TargetMode="External" Type="http://schemas.openxmlformats.org/officeDocument/2006/relationships/hyperlink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17" Target="media/document_image_rId17.png" Type="http://schemas.openxmlformats.org/officeDocument/2006/relationships/image"/><Relationship Id="rId18" Target="media/document_image_rId18.png" Type="http://schemas.openxmlformats.org/officeDocument/2006/relationships/image"/><Relationship Id="rId19" Target="media/document_image_rId19.png" Type="http://schemas.openxmlformats.org/officeDocument/2006/relationships/image"/><Relationship Id="rId2" Target="settings.xml" Type="http://schemas.openxmlformats.org/officeDocument/2006/relationships/settings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https://thingcom.yuque.com/dmfcly/lf3dyp/fkd0yubd8d7sdadc#doihq" TargetMode="External" Type="http://schemas.openxmlformats.org/officeDocument/2006/relationships/hyperlink"/><Relationship Id="rId6" Target="media/document_image_rId6.png" Type="http://schemas.openxmlformats.org/officeDocument/2006/relationships/image"/><Relationship Id="rId7" Target="https://thingcom.yuque.com/dmfcly/lf3dyp/fkd0yubd8d7sdadc#J2ZfQ" TargetMode="External" Type="http://schemas.openxmlformats.org/officeDocument/2006/relationships/hyperlink"/><Relationship Id="rId8" Target="media/document_image_rId8.png" Type="http://schemas.openxmlformats.org/officeDocument/2006/relationships/image"/><Relationship Id="rId9" Target="https://thingcom.yuque.com/dmfcly/lf3dyp/fkd0yubd8d7sdadc#cQHBy" TargetMode="External" Type="http://schemas.openxmlformats.org/officeDocument/2006/relationships/hyperlink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