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【轨物方案】微电网：零碳园区的“发动机”，不该只是一套监控系统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eBsnA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5fcc1799" w:id="2"/>
      <w:r>
        <w:rPr>
          <w:rFonts w:ascii="宋体" w:hAnsi="Times New Roman" w:eastAsia="宋体"/>
          <w:b w:val="false"/>
          <w:i w:val="false"/>
          <w:color w:val="808080"/>
          <w:sz w:val="22"/>
        </w:rPr>
        <w:t>谈零碳园区，大家都在谈碳核算、谈申报、谈牌子；但真正决定“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单位能耗碳排放</w:t>
      </w:r>
      <w:r>
        <w:rPr>
          <w:rFonts w:ascii="宋体" w:hAnsi="Times New Roman" w:eastAsia="宋体"/>
          <w:b w:val="false"/>
          <w:i w:val="false"/>
          <w:color w:val="808080"/>
          <w:sz w:val="22"/>
        </w:rPr>
        <w:t>”这个核心指标的，是园区里那张源网荷储的运行网络——微电网。轨物科技</w:t>
      </w:r>
      <w:r>
        <w:rPr>
          <w:rFonts w:ascii="宋体" w:hAnsi="Times New Roman" w:eastAsia="宋体"/>
          <w:b/>
          <w:i w:val="false"/>
          <w:color w:val="004347"/>
          <w:sz w:val="22"/>
        </w:rPr>
        <w:t>零碳园区微电网解决方案</w:t>
      </w:r>
      <w:r>
        <w:rPr>
          <w:rFonts w:ascii="宋体" w:hAnsi="Times New Roman" w:eastAsia="宋体"/>
          <w:b w:val="false"/>
          <w:i w:val="false"/>
          <w:color w:val="808080"/>
          <w:sz w:val="22"/>
        </w:rPr>
        <w:t>，讲的就是这张网怎么转起来。</w:t>
      </w:r>
    </w:p>
    <w:bookmarkEnd w:id="2"/>
    <w:bookmarkStart w:name="u228d335b" w:id="3"/>
    <w:p>
      <w:pPr>
        <w:spacing w:after="50" w:line="360" w:lineRule="auto" w:beforeLines="100"/>
        <w:ind w:left="0"/>
        <w:jc w:val="left"/>
      </w:pPr>
      <w:bookmarkStart w:name="u37f233f0" w:id="4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abf3fa72" w:id="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国家级零碳园区的核心指标是“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单位能耗碳排放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”——按综合能耗规模分档，要求控制在 0.2–0.3 tCO₂/吨标煤，引导指标还包括清洁能源消费占比 ≥90%。拆开看，这道题的解法只有三个：多用绿电（光伏、风电、储能协同消纳）、少用浪费的电（削峰填谷、需量优化）、用的每一度绿电都有凭证（可溯源）。</w:t>
      </w:r>
    </w:p>
    <w:bookmarkEnd w:id="5"/>
    <w:bookmarkStart w:name="ud37bcc23" w:id="6"/>
    <w:p>
      <w:pPr>
        <w:spacing w:after="50" w:line="360" w:lineRule="auto" w:beforeLines="100"/>
        <w:ind w:left="0"/>
        <w:jc w:val="left"/>
      </w:pPr>
      <w:bookmarkStart w:name="u3413a94f" w:id="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bookmarkEnd w:id="6"/>
    <w:bookmarkStart w:name="u602b6bea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这三件事没有一件是“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写报表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”能解决的，全都落在微电网的运行上。换句话说：能碳平台是零碳园区的“大脑与成绩单”，微电网才是“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发动机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”。发动机不给力，报表再漂亮也过不了评审。</w:t>
      </w:r>
    </w:p>
    <w:bookmarkEnd w:id="8"/>
    <w:bookmarkStart w:name="u6661338b" w:id="9"/>
    <w:p>
      <w:pPr>
        <w:spacing w:after="50" w:line="360" w:lineRule="auto" w:beforeLines="100"/>
        <w:ind w:left="0"/>
        <w:jc w:val="left"/>
      </w:pPr>
      <w:bookmarkStart w:name="u965dc474" w:id="10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bookmarkEnd w:id="9"/>
    <w:bookmarkStart w:name="udaf5e1ea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在轨物的整体方案里，微电网 EMS 是零碳园区能碳管理平台的底座子模块。它向上为碳核算与绿电溯源提供物理真实的数据流，向下对光伏、储能、风电、充电桩、产线负荷进行统一的监测与优化调度建议。</w:t>
      </w:r>
    </w:p>
    <w:bookmarkEnd w:id="11"/>
    <w:bookmarkStart w:name="u4b3ed681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这个定位意味着两个“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必须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”：一是数据必须从源头来——自研传感器与 MGC200/G100/G200 边缘网关多协议直采，现场 Modbus、BACnet、私有协议并存的老大难问题统一收口，接入完整率≥98%，边缘本地缓存保证断网自治——园区网络哪怕中断，计量与策略执行也不掉线；二是智能必须长在业务上——不是把数据搬上云端画个看板，而是让每个预测、每条充放电策略都能回答"这度电该不该现在用、该不该存起来"。</w:t>
      </w:r>
    </w:p>
    <w:bookmarkEnd w:id="12"/>
    <w:bookmarkStart w:name="ua28f08b8" w:id="13"/>
    <w:p>
      <w:pPr>
        <w:spacing w:after="50" w:line="360" w:lineRule="auto" w:beforeLines="100"/>
        <w:ind w:left="0"/>
        <w:jc w:val="left"/>
      </w:pPr>
      <w:bookmarkStart w:name="u7133aada" w:id="14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b6aadb78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数据底座之上还有一道“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体检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”环节：Monitor Agent 持续比对运行数据与历史基线，异常发现、根因定位、误报过滤一条链完成，事件闭环控制在 30 分钟以内。微电网设备多、杂、散，谁都不会天天盯着几百个点位——这套“永不休息的值班员”，恰恰是很多园区最缺的那个人。</w:t>
      </w:r>
    </w:p>
    <w:bookmarkEnd w:id="15"/>
    <w:bookmarkStart w:name="u1e1e3d7c" w:id="16"/>
    <w:p>
      <w:pPr>
        <w:spacing w:after="50" w:line="360" w:lineRule="auto" w:beforeLines="100"/>
        <w:ind w:left="0"/>
        <w:jc w:val="left"/>
      </w:pPr>
      <w:bookmarkStart w:name="ue55b5939" w:id="17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u2edbad85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微电网运行的账，本质是时间的账。轨物用调度 Agent 把这笔账算到小时甚至更细的粒度：</w:t>
      </w:r>
    </w:p>
    <w:bookmarkEnd w:id="18"/>
    <w:bookmarkStart w:name="u53e97a88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预测先行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基于 pvlib + LightGBM 的负荷与光伏功率预测，预测精度 &gt;90%——光伏什么时候大发、负荷什么时候爬坡，先算清楚再谈调度。</w:t>
      </w:r>
    </w:p>
    <w:bookmarkEnd w:id="19"/>
    <w:bookmarkStart w:name="u6257e49b" w:id="20"/>
    <w:p>
      <w:pPr>
        <w:spacing w:after="50" w:line="360" w:lineRule="auto" w:beforeLines="100"/>
        <w:ind w:left="0"/>
        <w:jc w:val="left"/>
      </w:pPr>
      <w:bookmarkStart w:name="u5a9faf13" w:id="21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d7fd7ff8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储能会算账。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基于 Pyomo/HiGHS 优化求解的充放电策略，峰谷价差里“低谷充电、高峰放电”不再是拍脑袋的定时任务，而是跟着电价、负荷预测、需量目标动态走的全局最优解。实测项目峰谷套利收益提升 30% 以上。</w:t>
      </w:r>
    </w:p>
    <w:bookmarkEnd w:id="22"/>
    <w:bookmarkStart w:name="ucafdb235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需量会刹车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面向两部制电价用户，需量控制建议把月度最大需量压下去，控费 &gt;15%——这一项往往是园区电费单里最容易被忽视的隐形成本。</w:t>
      </w:r>
    </w:p>
    <w:bookmarkEnd w:id="23"/>
    <w:bookmarkStart w:name="ue31055df" w:id="2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边界清晰。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所有调度输出都是“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建议 + 人工确认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”，平台不做设备主动控制。安全与效率之间，轨物选择让专业的人握着方向盘。</w:t>
      </w:r>
    </w:p>
    <w:bookmarkEnd w:id="24"/>
    <w:bookmarkStart w:name="ubb8c196d" w:id="25"/>
    <w:p>
      <w:pPr>
        <w:spacing w:after="50" w:line="360" w:lineRule="auto" w:beforeLines="100"/>
        <w:ind w:left="0"/>
        <w:jc w:val="left"/>
      </w:pPr>
      <w:bookmarkStart w:name="u0e4854ed" w:id="26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6"/>
    </w:p>
    <w:bookmarkEnd w:id="25"/>
    <w:bookmarkStart w:name="u61062028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方案不是 PPT。轨物已交付验收的新型储能管理系统 EMS 项目给出了一组真实数据：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峰谷套利收益提升 30% 以上，储能运维人力投入减少 60% 以上，故障平均响应时间缩短至 1–2 小时。</w:t>
      </w:r>
    </w:p>
    <w:bookmarkEnd w:id="27"/>
    <w:bookmarkStart w:name="uee895229" w:id="28"/>
    <w:p>
      <w:pPr>
        <w:spacing w:after="50" w:line="360" w:lineRule="auto" w:beforeLines="100"/>
        <w:ind w:left="0"/>
        <w:jc w:val="left"/>
      </w:pPr>
      <w:bookmarkStart w:name="uBziP" w:id="29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</w:p>
    <w:bookmarkEnd w:id="28"/>
    <w:bookmarkStart w:name="u93f0fa3b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光伏侧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同样如此：全品牌逆变器统一监控，组串级 IV 诊断、热斑预警，AI 替代 80% 的人工巡检。这些能力与微电网调度同底座、同数据流——园区不必在“能量效率”和“碳合规”两套系统之间反复导数据。</w:t>
      </w:r>
    </w:p>
    <w:bookmarkEnd w:id="30"/>
    <w:bookmarkStart w:name="ua55e236e" w:id="31"/>
    <w:p>
      <w:pPr>
        <w:spacing w:after="50" w:line="360" w:lineRule="auto" w:beforeLines="100"/>
        <w:ind w:left="0"/>
        <w:jc w:val="left"/>
      </w:pPr>
      <w:bookmarkStart w:name="u49617f9a" w:id="32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2"/>
    </w:p>
    <w:bookmarkEnd w:id="31"/>
    <w:bookmarkStart w:name="u093ffac3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轨物方案里最关键的咬合点：微电网产生的每一度绿电，通过小时级发—用匹配进入绿电溯源台账——消纳了多少、自用了多少、凭证齐不齐备，逐时可查。凭证齐备按零排放因子核算，缺失则自动还原化石能源口径。</w:t>
      </w:r>
    </w:p>
    <w:bookmarkEnd w:id="33"/>
    <w:bookmarkStart w:name="ub117c43e" w:id="3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于是，清洁能源消费占比 ≥90% 不再是年度统计里的一个估算值，而是每天实时可算的运行指标；园区申报零碳园区的达标进度、入驻出口企业的 CBAM 绿电凭证、EMC 托管模式下运营方的收益分成，全都从同一套微电网数据里长出来。一次采集，三方受益。</w:t>
      </w:r>
    </w:p>
    <w:bookmarkEnd w:id="34"/>
    <w:bookmarkStart w:name="u52ea9160" w:id="35"/>
    <w:p>
      <w:pPr>
        <w:spacing w:after="50" w:line="360" w:lineRule="auto" w:beforeLines="100"/>
        <w:ind w:left="0"/>
        <w:jc w:val="left"/>
      </w:pPr>
      <w:bookmarkStart w:name="u7ad7c0fa" w:id="36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9b281fef" w:id="3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</w:t>
      </w:r>
      <w:r>
        <w:rPr>
          <w:rFonts w:ascii="宋体" w:hAnsi="Times New Roman" w:eastAsia="宋体"/>
          <w:b/>
          <w:i w:val="false"/>
          <w:color w:val="004347"/>
          <w:sz w:val="22"/>
        </w:rPr>
        <w:t>托管运营商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而言，这一点的价值尤其直接：售电、峰谷套利、充电服务费、绿电溢价、托管分成由 Revenue Agent 统一核算，误差 ≤1%，计费与核算同源——以前每月要跟园区对账扯皮的数字，现在出自同一份台账，双方看的都是同一份事实。绿电消纳得越好、溯源越干净，碳资产溢价和分成空间也越大——微电网的运行质量，第一次和商业模式的收益直接挂钩。</w:t>
      </w:r>
    </w:p>
    <w:bookmarkEnd w:id="37"/>
    <w:bookmarkStart w:name="ub5f0acb2" w:id="38"/>
    <w:p>
      <w:pPr>
        <w:spacing w:after="50" w:line="360" w:lineRule="auto" w:beforeLines="100"/>
        <w:ind w:left="0"/>
        <w:jc w:val="left"/>
      </w:pPr>
      <w:bookmarkStart w:name="uebdf41dc" w:id="39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u7b9c346c" w:id="4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政策窗口很具体：52 个国家级零碳园区正处在申报—验收密集期，平台须在申报前 3–6 个月上线积累全年数据；2026 年是碳排放双控第一年，园区用能的每一分“碳预算”都开始值钱；市场侧，截至 2026 年 8 月已有 32 个园区发布 50 余个零碳园区相关招标、总成交超 24 亿元，钱和节奏都已经摆在了桌面上。早一天让微电网转出优化收益，早一天开始积累可信数据，申报与收益两头都不耽误。</w:t>
      </w:r>
    </w:p>
    <w:bookmarkEnd w:id="40"/>
    <w:bookmarkStart w:name="ua6dccc7f" w:id="41"/>
    <w:p>
      <w:pPr>
        <w:spacing w:after="50" w:line="360" w:lineRule="auto" w:beforeLines="100"/>
        <w:ind w:left="0"/>
        <w:jc w:val="left"/>
      </w:pPr>
      <w:bookmarkStart w:name="u4173f2d5" w:id="42"/>
      <w:r>
        <w:rPr>
          <w:rFonts w:eastAsia="宋体" w:ascii="宋体"/>
        </w:rPr>
        <w:drawing>
          <wp:inline distT="0" distB="0" distL="0" distR="0">
            <wp:extent cx="5842000" cy="43814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240134" cy="249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2"/>
    </w:p>
    <w:bookmarkEnd w:id="41"/>
    <w:bookmarkStart w:name="ued5ab3b0" w:id="4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而轨物的工程底子让这笔账算得踏实：pvlib、LightGBM、Pyomo/HiGHS 全开源技术栈，零 License 费；支持国产化服务器与数据库适配、本地私有化部署，数据主权归客户；16 年行业深耕、200+ 企业客户、100+ 电站/园区部署、18 项发明专利、国家标准起草单位、华为鲲鹏认证单位——保证方案以合理的成本、扎实的交付落地。</w:t>
      </w:r>
    </w:p>
    <w:bookmarkEnd w:id="43"/>
    <w:bookmarkStart w:name="u5fb26db7" w:id="44"/>
    <w:p>
      <w:pPr>
        <w:spacing w:after="50" w:line="360" w:lineRule="auto" w:beforeLines="100"/>
        <w:ind w:left="0"/>
        <w:jc w:val="left"/>
      </w:pPr>
      <w:bookmarkStart w:name="u0cc3fc98" w:id="45"/>
      <w:r>
        <w:rPr>
          <w:rFonts w:eastAsia="宋体" w:ascii="宋体"/>
        </w:rPr>
        <w:drawing>
          <wp:inline distT="0" distB="0" distL="0" distR="0">
            <wp:extent cx="5842000" cy="13670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3c56d2a9" w:id="4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零碳园区不是贴在墙上的牌子，而是一张每天都要算得清、调得优、查得实的能源网络。微电网 EMS 就是这张网络的操作系统。</w:t>
      </w:r>
    </w:p>
    <w:bookmarkEnd w:id="46"/>
    <w:bookmarkStart w:name="u24d4d57b" w:id="47"/>
    <w:p>
      <w:pPr>
        <w:spacing w:after="50" w:line="360" w:lineRule="auto" w:beforeLines="100"/>
        <w:ind w:left="0"/>
        <w:jc w:val="left"/>
      </w:pPr>
      <w:bookmarkStart w:name="HF6a8" w:id="48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8"/>
    </w:p>
    <w:bookmarkEnd w:id="47"/>
    <w:bookmarkStart w:name="u8d2b3d07" w:id="49"/>
    <w:p>
      <w:pPr>
        <w:spacing w:after="50" w:line="360" w:lineRule="auto" w:beforeLines="100"/>
        <w:ind w:left="0"/>
        <w:jc w:val="left"/>
      </w:pPr>
      <w:bookmarkStart w:name="ue00a6830" w:id="50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bd68c99d" w:id="51"/>
    <w:p>
      <w:pPr>
        <w:spacing w:after="50" w:line="360" w:lineRule="auto" w:beforeLines="100"/>
        <w:ind w:left="0"/>
        <w:jc w:val="left"/>
      </w:pPr>
      <w:bookmarkStart w:name="pdHGx" w:id="52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2"/>
    </w:p>
    <w:bookmarkEnd w:id="51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