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【轨物方案】让每个零碳园区，都拥有一支“永不休息的 AI 能碳团队”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Pll4C" w:id="0"/>
      <w:bookmarkStart w:name="ue92a9310" w:id="1"/>
      <w:r>
        <w:rPr>
          <w:rFonts w:eastAsia="宋体" w:ascii="宋体"/>
        </w:rPr>
        <w:drawing>
          <wp:inline distT="0" distB="0" distL="0" distR="0">
            <wp:extent cx="5841999" cy="37972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641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e3f21cbc" w:id="2"/>
    <w:p>
      <w:pPr>
        <w:spacing w:after="50" w:line="360" w:lineRule="auto" w:beforeLines="100"/>
        <w:ind w:left="0"/>
        <w:jc w:val="left"/>
      </w:pPr>
      <w:bookmarkStart w:name="u8654bcf2" w:id="3"/>
      <w:r>
        <w:rPr>
          <w:rFonts w:eastAsia="宋体" w:ascii="宋体"/>
        </w:rPr>
        <w:drawing>
          <wp:inline distT="0" distB="0" distL="0" distR="0">
            <wp:extent cx="5841999" cy="13085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1964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f9b5031e" w:id="4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2025 年 12 月 26 日，首批 52 个国家级零碳园区名单公布，覆盖全部 31 个省份。发改环资〔2025〕910 号文把“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建设园区能碳管理平台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”写进了八项重点任务的第七项——能碳平台第一次从厂商的推销话术，变成国家政策的明文必建项。</w:t>
      </w:r>
    </w:p>
    <w:bookmarkEnd w:id="4"/>
    <w:bookmarkStart w:name="u60923f54" w:id="5"/>
    <w:p>
      <w:pPr>
        <w:spacing w:after="50" w:line="360" w:lineRule="auto" w:beforeLines="100"/>
        <w:ind w:left="0"/>
        <w:jc w:val="left"/>
      </w:pPr>
      <w:bookmarkStart w:name="ud1c508f0" w:id="6"/>
      <w:r>
        <w:rPr>
          <w:rFonts w:eastAsia="宋体" w:ascii="宋体"/>
        </w:rPr>
        <w:drawing>
          <wp:inline distT="0" distB="0" distL="0" distR="0">
            <wp:extent cx="5638800" cy="422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22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"/>
    </w:p>
    <w:bookmarkEnd w:id="5"/>
    <w:bookmarkStart w:name="u206a4a31" w:id="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与此同时，2026 年是能耗双控转向碳排放双控的第一年，欧盟 CBAM 已进入实质征收期，出口企业必须拿出可核查的物理绿电凭证。园区要拿零碳牌子，企业要过 CBAM，两件事背后是同一个底层能力：碳数据要实时可算、可溯源、可核查。而市面上大多数方案，还停留在“能耗看板 + 离线碳报表”。</w:t>
      </w:r>
    </w:p>
    <w:bookmarkEnd w:id="7"/>
    <w:bookmarkStart w:name="u4dbf7a80" w:id="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轨物科技零碳园区能碳管理平台（AI 智能体），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就是为填补这个落差而生。</w:t>
      </w:r>
    </w:p>
    <w:bookmarkEnd w:id="8"/>
    <w:bookmarkStart w:name="u501cfe51" w:id="9"/>
    <w:p>
      <w:pPr>
        <w:spacing w:after="50" w:line="360" w:lineRule="auto" w:beforeLines="100"/>
        <w:ind w:left="0"/>
        <w:jc w:val="left"/>
      </w:pPr>
      <w:bookmarkStart w:name="u4a78060a" w:id="10"/>
      <w:r>
        <w:rPr>
          <w:rFonts w:eastAsia="宋体" w:ascii="宋体"/>
        </w:rPr>
        <w:drawing>
          <wp:inline distT="0" distB="0" distL="0" distR="0">
            <wp:extent cx="5841999" cy="13786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69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0"/>
    </w:p>
    <w:bookmarkEnd w:id="9"/>
    <w:bookmarkStart w:name="ub57a9f4e" w:id="1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传统微电网 EMS 解决的是“看得见、控得住”，而零碳园区要回答的是三个更难的问题：</w:t>
      </w:r>
      <w:r>
        <w:rPr>
          <w:rFonts w:ascii="宋体" w:hAnsi="Times New Roman" w:eastAsia="宋体"/>
          <w:b/>
          <w:i w:val="false"/>
          <w:color w:val="004347"/>
          <w:sz w:val="22"/>
        </w:rPr>
        <w:t>指标达没达标？绿电是不是真的？碳资产怎么变现？</w:t>
      </w:r>
    </w:p>
    <w:bookmarkEnd w:id="11"/>
    <w:bookmarkStart w:name="ud5378aad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轨物的方案，把这三个问题变成一套闭环：以自研传感器与 MGC200/G100/G200 边缘网关构成感知底座，实现能耗与碳排放数据的源头直采；以能碳中台承载核算、监测、调度、合规四大业务；其上，八个业务智能体组成一支“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永不休息的 AI 能碳团队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”，覆盖数据接入、异常诊断、优化调度、碳核算、绿电溯源、智能巡检、收益核算、报表解读全链条。</w:t>
      </w:r>
    </w:p>
    <w:bookmarkEnd w:id="12"/>
    <w:bookmarkStart w:name="u5e8a74e7" w:id="13"/>
    <w:p>
      <w:pPr>
        <w:spacing w:after="50" w:line="360" w:lineRule="auto" w:beforeLines="100"/>
        <w:ind w:left="0"/>
        <w:jc w:val="left"/>
      </w:pPr>
      <w:bookmarkStart w:name="u2e11297a" w:id="14"/>
      <w:r>
        <w:rPr>
          <w:rFonts w:eastAsia="宋体" w:ascii="宋体"/>
        </w:rPr>
        <w:drawing>
          <wp:inline distT="0" distB="0" distL="0" distR="0">
            <wp:extent cx="5638800" cy="422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22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u02c3dece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一句话概括我们的价值主张：</w:t>
      </w:r>
      <w:r>
        <w:rPr>
          <w:rFonts w:ascii="宋体" w:hAnsi="Times New Roman" w:eastAsia="宋体"/>
          <w:b/>
          <w:i w:val="false"/>
          <w:color w:val="004347"/>
          <w:sz w:val="22"/>
        </w:rPr>
        <w:t>帮园区拿零碳牌子，帮出口企业过 CBAM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</w:p>
    <w:bookmarkEnd w:id="15"/>
    <w:bookmarkStart w:name="u72f0f182" w:id="16"/>
    <w:p>
      <w:pPr>
        <w:spacing w:after="50" w:line="360" w:lineRule="auto" w:beforeLines="100"/>
        <w:ind w:left="0"/>
        <w:jc w:val="left"/>
      </w:pPr>
      <w:bookmarkStart w:name="u9715eb35" w:id="17"/>
      <w:r>
        <w:rPr>
          <w:rFonts w:eastAsia="宋体" w:ascii="宋体"/>
        </w:rPr>
        <w:drawing>
          <wp:inline distT="0" distB="0" distL="0" distR="0">
            <wp:extent cx="5841999" cy="134943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771466" cy="2026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bookmarkEnd w:id="16"/>
    <w:bookmarkStart w:name="ubb61eea8" w:id="1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这是这套方案最像“</w:t>
      </w:r>
      <w:r>
        <w:rPr>
          <w:rFonts w:ascii="宋体" w:hAnsi="Times New Roman" w:eastAsia="宋体"/>
          <w:b/>
          <w:i w:val="false"/>
          <w:color w:val="004347"/>
          <w:sz w:val="22"/>
        </w:rPr>
        <w:t>未来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”的部分。举一个真实的工作流：某园区光伏逆变器效率骤降——</w:t>
      </w:r>
    </w:p>
    <w:bookmarkEnd w:id="18"/>
    <w:bookmarkStart w:name="u6aca94ce" w:id="1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Monitor Agent 发现异常，定位为组串级热斑并排除计量误报；Orchestrator 建立事件卡，Inspection Agent 派发无人机巡检并复核图像；处置建议推送运维负责人，人工审批后派单执行；全程归档，Report Agent 自动生成事件报告。</w:t>
      </w:r>
    </w:p>
    <w:bookmarkEnd w:id="19"/>
    <w:bookmarkStart w:name="uaa6c3c26" w:id="20"/>
    <w:p>
      <w:pPr>
        <w:spacing w:after="50" w:line="360" w:lineRule="auto" w:beforeLines="100"/>
        <w:ind w:left="0"/>
        <w:jc w:val="left"/>
      </w:pPr>
      <w:bookmarkStart w:name="uaf91937a" w:id="21"/>
      <w:r>
        <w:rPr>
          <w:rFonts w:eastAsia="宋体" w:ascii="宋体"/>
        </w:rPr>
        <w:drawing>
          <wp:inline distT="0" distB="0" distL="0" distR="0">
            <wp:extent cx="5638800" cy="422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22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1"/>
    </w:p>
    <w:bookmarkEnd w:id="20"/>
    <w:bookmarkStart w:name="u79643df1" w:id="2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效率是</w:t>
      </w:r>
      <w:r>
        <w:rPr>
          <w:rFonts w:ascii="宋体" w:hAnsi="Times New Roman" w:eastAsia="宋体"/>
          <w:b/>
          <w:i w:val="false"/>
          <w:color w:val="004347"/>
          <w:sz w:val="22"/>
        </w:rPr>
        <w:t>量级式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的：月度碳核算从 3 人天压缩到 5 分钟，异常事件闭环从 2–4 小时缩短到 30 分钟以内，核查材料从数天整理变为一键导出。</w:t>
      </w:r>
    </w:p>
    <w:bookmarkEnd w:id="22"/>
    <w:bookmarkStart w:name="u26bc9949" w:id="2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但真正让工业客户敢用的，是架构纪律：大模型不写关键业务数据、不碰确定性核算公式、不触发设备控制；所有自动动作走“</w:t>
      </w:r>
      <w:r>
        <w:rPr>
          <w:rFonts w:ascii="宋体" w:hAnsi="Times New Roman" w:eastAsia="宋体"/>
          <w:b/>
          <w:i w:val="false"/>
          <w:color w:val="004347"/>
          <w:sz w:val="22"/>
        </w:rPr>
        <w:t>建议—人工审批—执行—全链路审计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”的闭环；即便模型服务宕机，核算、看板、报告等核心功能 100% 可用。AI 负责“更聪明”，人负责“拍板”——这是央国企与托管商敢把系统接入生产现场的前提。</w:t>
      </w:r>
    </w:p>
    <w:bookmarkEnd w:id="23"/>
    <w:bookmarkStart w:name="u82058ed8" w:id="24"/>
    <w:p>
      <w:pPr>
        <w:spacing w:after="50" w:line="360" w:lineRule="auto" w:beforeLines="100"/>
        <w:ind w:left="0"/>
        <w:jc w:val="left"/>
      </w:pPr>
      <w:bookmarkStart w:name="u1ac0de2e" w:id="25"/>
      <w:r>
        <w:rPr>
          <w:rFonts w:eastAsia="宋体" w:ascii="宋体"/>
        </w:rPr>
        <w:drawing>
          <wp:inline distT="0" distB="0" distL="0" distR="0">
            <wp:extent cx="5841999" cy="137870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619066" cy="20340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5"/>
    </w:p>
    <w:bookmarkEnd w:id="24"/>
    <w:bookmarkStart w:name="ub5186661" w:id="2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碳数据的“可信”，从来不是靠一页 PPT 承诺出来的。轨物的方案做了四件事：</w:t>
      </w:r>
    </w:p>
    <w:bookmarkEnd w:id="26"/>
    <w:bookmarkStart w:name="u74929be6" w:id="27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源头真实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全栈自研传感器 + 边缘网关直采，多品牌多协议统一接入，接入完整率≥98%，从物理世界这一端就解决"数据从哪来、可不可信"的问题。</w:t>
      </w:r>
    </w:p>
    <w:bookmarkEnd w:id="27"/>
    <w:bookmarkStart w:name="u0e8eca3c" w:id="28"/>
    <w:p>
      <w:pPr>
        <w:spacing w:after="50" w:line="360" w:lineRule="auto" w:beforeLines="100"/>
        <w:ind w:left="0"/>
        <w:jc w:val="left"/>
      </w:pPr>
      <w:bookmarkStart w:name="u14b5bb50" w:id="29"/>
      <w:r>
        <w:rPr>
          <w:rFonts w:eastAsia="宋体" w:ascii="宋体"/>
        </w:rPr>
        <w:drawing>
          <wp:inline distT="0" distB="0" distL="0" distR="0">
            <wp:extent cx="5638800" cy="4228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638800" cy="422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9"/>
    </w:p>
    <w:bookmarkEnd w:id="28"/>
    <w:bookmarkStart w:name="u42af21e5" w:id="30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口径不漂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国家温室气体排放因子数据库逐年更新，电力因子多口径并存——我们自研因子库版本管理引擎，因子按年份/区域/能源品种三维版本化，任何历史时点的报表都能复算复现，核查时经得起追问。</w:t>
      </w:r>
    </w:p>
    <w:bookmarkEnd w:id="30"/>
    <w:bookmarkStart w:name="u02fdd159" w:id="3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绿电可溯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绿电直连建档立卡、小时级发—用匹配，凭证齐备按零排放因子核算，凭证缺失自动还原为化石能源口径——这条"凭证缺失即还原"的纪律，让平台的每一笔绿电都能对 CBAM 核查给出交代。</w:t>
      </w:r>
    </w:p>
    <w:bookmarkEnd w:id="31"/>
    <w:bookmarkStart w:name="u0bd6443a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004347"/>
          <w:sz w:val="22"/>
        </w:rPr>
        <w:t>过程留痕</w:t>
      </w:r>
      <w:r>
        <w:rPr>
          <w:rFonts w:ascii="宋体" w:hAnsi="Times New Roman" w:eastAsia="宋体"/>
          <w:b/>
          <w:i w:val="false"/>
          <w:color w:val="000000"/>
          <w:sz w:val="22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核算口径、边界设定、人工修改全程留痕，平台支持国产化服务器与数据库适配，支持本地私有化与专有云部署、数据主权归客户，并预留与 SGS/DNV/TÜV/CQC 等核查认证机构及省级双碳平台的数据接口。</w:t>
      </w:r>
    </w:p>
    <w:bookmarkEnd w:id="32"/>
    <w:bookmarkStart w:name="u6913a454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对园区管委会而言，这套可信体系直接落到一个看板上：对照国家级核心指标（单位能耗碳排放 ≤0.2–0.3 tCO₂/吨标煤）与省级分档指标，达标进度实时显示、短板项自动预警、申报自评分自动生成——告别年底算总账的被动局面。</w:t>
      </w:r>
    </w:p>
    <w:bookmarkEnd w:id="33"/>
    <w:bookmarkStart w:name="ue3df9964" w:id="34"/>
    <w:p>
      <w:pPr>
        <w:spacing w:after="50" w:line="360" w:lineRule="auto" w:beforeLines="100"/>
        <w:ind w:left="0"/>
        <w:jc w:val="left"/>
      </w:pPr>
      <w:bookmarkStart w:name="uad1c31e1" w:id="35"/>
      <w:r>
        <w:rPr>
          <w:rFonts w:eastAsia="宋体" w:ascii="宋体"/>
        </w:rPr>
        <w:drawing>
          <wp:inline distT="0" distB="0" distL="0" distR="0">
            <wp:extent cx="5842000" cy="130852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754534" cy="1960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uaad884c7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合规是入场券，收益才是续费的理由。作为能源托管·EMC 模式的园区与综合能源服务商，最关心的是账能不能算清。轨物平台的 Revenue Agent 把售电、峰谷套利、充电服务费、绿电溢价、托管分成统一核算，误差≤1%，托管计费与收益核算同源。</w:t>
      </w:r>
    </w:p>
    <w:bookmarkEnd w:id="36"/>
    <w:bookmarkStart w:name="u1a0dc560" w:id="37"/>
    <w:p>
      <w:pPr>
        <w:spacing w:after="50" w:line="360" w:lineRule="auto" w:beforeLines="100"/>
        <w:ind w:left="0"/>
        <w:jc w:val="left"/>
      </w:pPr>
      <w:bookmarkStart w:name="ue7637b3d" w:id="38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8"/>
    </w:p>
    <w:bookmarkEnd w:id="37"/>
    <w:bookmarkStart w:name="ud66acb0e" w:id="3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实际项目数据同样硬：负荷/光伏预测精度 &gt;90%，需量控费 &gt;15%；配套的储能 EMS 项目峰谷套利收益提升 30% 以上、运维人力投入减少 60% 以上；光伏智能运维场景 AI 替代 80% 人工巡检。降本、增效、合规，三笔账在同一个平台上算。</w:t>
      </w:r>
    </w:p>
    <w:bookmarkEnd w:id="39"/>
    <w:bookmarkStart w:name="u5528bc5f" w:id="40"/>
    <w:p>
      <w:pPr>
        <w:spacing w:after="50" w:line="360" w:lineRule="auto" w:beforeLines="100"/>
        <w:ind w:left="0"/>
        <w:jc w:val="left"/>
      </w:pPr>
      <w:bookmarkStart w:name="u4b9e811f" w:id="41"/>
      <w:r>
        <w:rPr>
          <w:rFonts w:eastAsia="宋体" w:ascii="宋体"/>
        </w:rPr>
        <w:drawing>
          <wp:inline distT="0" distB="0" distL="0" distR="0">
            <wp:extent cx="5842000" cy="126761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8720666" cy="189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1"/>
    </w:p>
    <w:bookmarkEnd w:id="40"/>
    <w:bookmarkStart w:name="u7a048930" w:id="4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方案背后是一家经得起尽调的公司：杭州轨物科技深耕新能源电力行业 16 年，服务 200+ 企业客户，落地 100+ 电站/园区，持有 18 项发明专利，是国家标准起草单位、华为鲲鹏认证单位。</w:t>
      </w:r>
    </w:p>
    <w:bookmarkEnd w:id="42"/>
    <w:bookmarkStart w:name="uaf7b1a89" w:id="43"/>
    <w:p>
      <w:pPr>
        <w:spacing w:after="50" w:line="360" w:lineRule="auto" w:beforeLines="100"/>
        <w:ind w:left="0"/>
        <w:jc w:val="left"/>
      </w:pPr>
      <w:bookmarkStart w:name="uf2d3fac4" w:id="44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4"/>
    </w:p>
    <w:bookmarkEnd w:id="43"/>
    <w:bookmarkStart w:name="ubc12df0f" w:id="4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我们走的是“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产学研用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”一体化路径：杭电学术研究 → 轨物工程转化 → 200+ 企业应用验证 → 数据反哺算法迭代。同一套技术底座还支撑着光伏电站智能运维、节能减排智能监测、配电/储能智能化三大方案——你在能碳平台上看到的每一个 Agent 能力，都经过其他场景的真实交付打磨。</w:t>
      </w:r>
    </w:p>
    <w:bookmarkEnd w:id="45"/>
    <w:bookmarkStart w:name="u6562e254" w:id="46"/>
    <w:p>
      <w:pPr>
        <w:spacing w:after="50" w:line="360" w:lineRule="auto" w:beforeLines="100"/>
        <w:ind w:left="0"/>
        <w:jc w:val="left"/>
      </w:pPr>
      <w:bookmarkStart w:name="ubfaa219e" w:id="47"/>
      <w:r>
        <w:rPr>
          <w:rFonts w:eastAsia="宋体" w:ascii="宋体"/>
        </w:rPr>
        <w:drawing>
          <wp:inline distT="0" distB="0" distL="0" distR="0">
            <wp:extent cx="5842000" cy="136694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754534" cy="2048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ua759cc64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能力清单之外，边界清单同样重要：不做面向海量小微企业的通用碳 SaaS，只深耕园区与托管商的合规刚需场景；交付止步“</w:t>
      </w:r>
      <w:r>
        <w:rPr>
          <w:rFonts w:ascii="宋体" w:hAnsi="Times New Roman" w:eastAsia="宋体"/>
          <w:b/>
          <w:i w:val="false"/>
          <w:color w:val="004347"/>
          <w:sz w:val="22"/>
        </w:rPr>
        <w:t>监测 + 核算 + 可视化 + 告警 + 建议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”，不含设备主动控制——AI 出建议、人来拍板；零碳认证与碳核查结论由具备资质的第三方机构出具，平台只保证过程数据可追溯、口径可解释、结果可复现。</w:t>
      </w:r>
    </w:p>
    <w:bookmarkEnd w:id="48"/>
    <w:bookmarkStart w:name="u5efab2cc" w:id="49"/>
    <w:p>
      <w:pPr>
        <w:spacing w:after="50" w:line="360" w:lineRule="auto" w:beforeLines="100"/>
        <w:ind w:left="0"/>
        <w:jc w:val="left"/>
      </w:pPr>
      <w:bookmarkStart w:name="u2e9bce96" w:id="50"/>
      <w:r>
        <w:rPr>
          <w:rFonts w:eastAsia="宋体" w:ascii="宋体"/>
        </w:rPr>
        <w:drawing>
          <wp:inline distT="0" distB="0" distL="0" distR="0">
            <wp:extent cx="5842000" cy="389631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77466" cy="3986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0"/>
    </w:p>
    <w:bookmarkEnd w:id="49"/>
    <w:bookmarkStart w:name="u7b41377b" w:id="51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把这些“</w:t>
      </w:r>
      <w:r>
        <w:rPr>
          <w:rFonts w:ascii="宋体" w:hAnsi="Times New Roman" w:eastAsia="宋体"/>
          <w:b/>
          <w:i w:val="false"/>
          <w:color w:val="004347"/>
          <w:sz w:val="22"/>
        </w:rPr>
        <w:t>不做什么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”写进产品，不是保守，而是让客户、核查机构与监管部门都能放心的专业。</w:t>
      </w:r>
    </w:p>
    <w:bookmarkEnd w:id="51"/>
    <w:bookmarkStart w:name="u3d5c9369" w:id="5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>零碳园区的上半场是拿牌子，下半场是天天算得清、查得实的日常运营。从感知底座到智能体团队，从合规申报到收益变现，轨物科技已经准备好陪你打完这场持久战。</w:t>
      </w:r>
    </w:p>
    <w:bookmarkEnd w:id="52"/>
    <w:bookmarkStart w:name="ub56a650a" w:id="5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想让你的园区提前 3–6 个月开始积累申报数据？欢迎访问官网 </w:t>
      </w:r>
      <w:hyperlink r:id="rId19">
        <w:r>
          <w:rPr>
            <w:rFonts w:ascii="宋体" w:hAnsi="Times New Roman" w:eastAsia="宋体"/>
            <w:b w:val="false"/>
            <w:i w:val="false"/>
            <w:color w:val="0000ff"/>
            <w:sz w:val="22"/>
            <w:u w:val="single"/>
          </w:rPr>
          <w:t/>
        </w:r>
        <w:r>
          <w:rPr>
            <w:rFonts w:ascii="宋体" w:hAnsi="Times New Roman" w:eastAsia="宋体"/>
            <w:b w:val="false"/>
            <w:i w:val="false"/>
            <w:color w:val="0000ff"/>
            <w:sz w:val="22"/>
          </w:rPr>
          <w:t>www.thingcom.com</w:t>
        </w:r>
      </w:hyperlink>
      <w:r>
        <w:rPr>
          <w:rFonts w:ascii="宋体" w:hAnsi="Times New Roman" w:eastAsia="宋体"/>
          <w:b w:val="false"/>
          <w:i w:val="false"/>
          <w:color w:val="000000"/>
          <w:sz w:val="22"/>
        </w:rPr>
        <w:t xml:space="preserve"> 了解方案详情，或搜索“</w:t>
      </w:r>
      <w:r>
        <w:rPr>
          <w:rFonts w:ascii="宋体" w:hAnsi="Times New Roman" w:eastAsia="宋体"/>
          <w:b/>
          <w:i w:val="false"/>
          <w:color w:val="004347"/>
          <w:sz w:val="22"/>
        </w:rPr>
        <w:t>轨物科技</w:t>
      </w:r>
      <w:r>
        <w:rPr>
          <w:rFonts w:ascii="宋体" w:hAnsi="Times New Roman" w:eastAsia="宋体"/>
          <w:b w:val="false"/>
          <w:i w:val="false"/>
          <w:color w:val="000000"/>
          <w:sz w:val="22"/>
        </w:rPr>
        <w:t>”预约演示。</w:t>
      </w:r>
    </w:p>
    <w:bookmarkEnd w:id="53"/>
    <w:bookmarkStart w:name="ubf250fff" w:id="54"/>
    <w:p>
      <w:pPr>
        <w:spacing w:after="50" w:line="360" w:lineRule="auto" w:beforeLines="100"/>
        <w:ind w:left="0"/>
        <w:jc w:val="left"/>
      </w:pPr>
      <w:bookmarkStart w:name="HF6a8" w:id="55"/>
      <w:r>
        <w:rPr>
          <w:rFonts w:eastAsia="宋体" w:ascii="宋体"/>
        </w:rPr>
        <w:drawing>
          <wp:inline distT="0" distB="0" distL="0" distR="0">
            <wp:extent cx="5842000" cy="1618164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7789334" cy="2157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5"/>
    </w:p>
    <w:bookmarkEnd w:id="54"/>
    <w:bookmarkStart w:name="u8d2b3d07" w:id="56"/>
    <w:p>
      <w:pPr>
        <w:spacing w:after="50" w:line="360" w:lineRule="auto" w:beforeLines="100"/>
        <w:ind w:left="0"/>
        <w:jc w:val="left"/>
      </w:pPr>
      <w:bookmarkStart w:name="ue00a6830" w:id="57"/>
      <w:r>
        <w:rPr>
          <w:rFonts w:eastAsia="宋体" w:ascii="宋体"/>
        </w:rPr>
        <w:drawing>
          <wp:inline distT="0" distB="0" distL="0" distR="0">
            <wp:extent cx="5842000" cy="800938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0" cy="28206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bookmarkEnd w:id="56"/>
    <w:bookmarkStart w:name="ubd68c99d" w:id="58"/>
    <w:p>
      <w:pPr>
        <w:spacing w:after="50" w:line="360" w:lineRule="auto" w:beforeLines="100"/>
        <w:ind w:left="0"/>
        <w:jc w:val="left"/>
      </w:pPr>
      <w:bookmarkStart w:name="pdHGx" w:id="59"/>
      <w:r>
        <w:rPr>
          <w:rFonts w:eastAsia="宋体" w:ascii="宋体"/>
        </w:rPr>
        <w:drawing>
          <wp:inline distT="0" distB="0" distL="0" distR="0">
            <wp:extent cx="5841999" cy="479037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872134" cy="809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9"/>
    </w:p>
    <w:bookmarkEnd w:id="58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w15="http://schemas.microsoft.com/office/word/2012/wordml" xmlns:w14="http://schemas.microsoft.com/office/word/2010/wordml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wp14="http://schemas.microsoft.com/office/word/2010/wordprocessingDrawing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http://www.thingcom.com" TargetMode="External" Type="http://schemas.openxmlformats.org/officeDocument/2006/relationships/hyperlink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3" Target="numbering.xml" Type="http://schemas.openxmlformats.org/officeDocument/2006/relationships/numbering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