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【轨物洞见】零碳大考之年，园区能碳管理正在发生什么</w:t>
      </w:r>
    </w:p>
    <w:p>
      <w:pPr>
        <w:spacing w:after="50" w:line="360" w:lineRule="auto" w:beforeLines="100"/>
        <w:ind w:left="0"/>
        <w:jc w:val="left"/>
      </w:pPr>
      <w:bookmarkStart w:name="uec76ccf1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8eb7ce75" w:id="2"/>
    <w:p>
      <w:pPr>
        <w:spacing w:after="50" w:line="360" w:lineRule="auto" w:beforeLines="100"/>
        <w:ind w:left="0"/>
        <w:jc w:val="left"/>
      </w:pPr>
      <w:bookmarkStart w:name="u1a5de9c3" w:id="3"/>
      <w:r>
        <w:rPr>
          <w:rFonts w:eastAsia="宋体" w:ascii="宋体"/>
        </w:rPr>
        <w:drawing>
          <wp:inline distT="0" distB="0" distL="0" distR="0">
            <wp:extent cx="5841999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196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bookmarkEnd w:id="2"/>
    <w:bookmarkStart w:name="u45dba1ef" w:id="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2025 年 7 月，国家发展改革委、工业和信息化部、国家能源局联合印发《关于开展零碳园区建设的通知》（发改环资〔2025〕910 号），八项重点任务中第七项明确要求“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提升园区能碳管理能力，建设园区能碳管理平台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”。这意味着，能碳平台第一次从厂商的推销话术，变成了国家政策的明文要求——它不是可选项，而是申报零碳园区的数字化底座。</w:t>
      </w:r>
    </w:p>
    <w:bookmarkEnd w:id="4"/>
    <w:bookmarkStart w:name="u0451cf6d" w:id="5"/>
    <w:p>
      <w:pPr>
        <w:spacing w:after="50" w:line="360" w:lineRule="auto" w:beforeLines="100"/>
        <w:ind w:left="0"/>
        <w:jc w:val="left"/>
      </w:pPr>
      <w:bookmarkStart w:name="u670992d6" w:id="6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bookmarkEnd w:id="5"/>
    <w:bookmarkStart w:name="u883efdf0" w:id="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节奏也随之绷紧：2025 年 12 月 26 日，首批 52 个国家级零碳园区名单公布，覆盖全部 31 个省份，各园区随即进入“</w:t>
      </w:r>
      <w:r>
        <w:rPr>
          <w:rFonts w:ascii="宋体" w:hAnsi="Times New Roman" w:eastAsia="宋体"/>
          <w:b/>
          <w:i w:val="false"/>
          <w:color w:val="004347"/>
          <w:sz w:val="22"/>
        </w:rPr>
        <w:t>申报—建设—评审—验收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”的密集周期。2026 年更是能耗双控转向碳排放双控的第一年，国务院《“十五五”碳达峰行动方案》设定了单位 GDP 二氧化碳排放再降 17% 的硬目标。对园区管委会而言，“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单位能耗碳排放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”这类核心指标必须按月可算、按年可核——靠年底翻 Excel 攒数据，已经来不及了。</w:t>
      </w:r>
    </w:p>
    <w:bookmarkEnd w:id="7"/>
    <w:bookmarkStart w:name="uf73c17eb" w:id="8"/>
    <w:p>
      <w:pPr>
        <w:spacing w:after="50" w:line="360" w:lineRule="auto" w:beforeLines="100"/>
        <w:ind w:left="0"/>
        <w:jc w:val="left"/>
      </w:pPr>
      <w:bookmarkStart w:name="u90ebcf72" w:id="9"/>
      <w:r>
        <w:rPr>
          <w:rFonts w:eastAsia="宋体" w:ascii="宋体"/>
        </w:rPr>
        <w:drawing>
          <wp:inline distT="0" distB="0" distL="0" distR="0">
            <wp:extent cx="5841999" cy="13786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206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bookmarkEnd w:id="8"/>
    <w:bookmarkStart w:name="u0419fc39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如果说政策立起了需求，真正把“</w:t>
      </w:r>
      <w:r>
        <w:rPr>
          <w:rFonts w:ascii="宋体" w:hAnsi="Times New Roman" w:eastAsia="宋体"/>
          <w:b/>
          <w:i w:val="false"/>
          <w:color w:val="004347"/>
          <w:sz w:val="22"/>
        </w:rPr>
        <w:t>碳数据可核算、可溯源、可核查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”变成钱包问题的，是三条同时收紧的制度线。</w:t>
      </w:r>
    </w:p>
    <w:bookmarkEnd w:id="10"/>
    <w:bookmarkStart w:name="uc00676ef" w:id="1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其一，全国碳市场于 2025 年 3 月扩围至钢铁、水泥、铝冶炼，重点排放单位的数据管理需求正沿着供应链外溢到园区；其二，欧盟碳边境调节机制（CBAM）自 2026 年 1 月 1 日结束过渡期、进入实质征收，2028 年拟扩围至约 180 种钢铝密集型下游产品——出口企业必须拿出可核查的物理绿电凭证，而欧盟只认物理直连绿电，不认绿证；其三，市场监管总局已启动产品碳足迹标识认证试点，首批覆盖光伏组件、锂电池、钢铁等 17 种产品。</w:t>
      </w:r>
    </w:p>
    <w:bookmarkEnd w:id="11"/>
    <w:bookmarkStart w:name="u3a926399" w:id="12"/>
    <w:p>
      <w:pPr>
        <w:spacing w:after="50" w:line="360" w:lineRule="auto" w:beforeLines="100"/>
        <w:ind w:left="0"/>
        <w:jc w:val="left"/>
      </w:pPr>
      <w:bookmarkStart w:name="ua5f21ff4" w:id="13"/>
      <w:r>
        <w:rPr>
          <w:rFonts w:eastAsia="宋体" w:ascii="宋体"/>
        </w:rPr>
        <w:drawing>
          <wp:inline distT="0" distB="0" distL="0" distR="0">
            <wp:extent cx="5841999" cy="435221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121600" cy="2467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"/>
    </w:p>
    <w:bookmarkEnd w:id="12"/>
    <w:bookmarkStart w:name="u6266fc29" w:id="1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三条线指向同一个结论：</w:t>
      </w:r>
      <w:r>
        <w:rPr>
          <w:rFonts w:ascii="宋体" w:hAnsi="Times New Roman" w:eastAsia="宋体"/>
          <w:b/>
          <w:i w:val="false"/>
          <w:color w:val="004347"/>
          <w:sz w:val="22"/>
        </w:rPr>
        <w:t>绿电溯源要做到小时级发—用匹配、建档立卡、跨境可核验。这是技术门槛，更是机制门槛——也正是新一代能碳平台与上一代产品的分水岭。</w:t>
      </w:r>
    </w:p>
    <w:bookmarkEnd w:id="14"/>
    <w:bookmarkStart w:name="u98ea53e3" w:id="15"/>
    <w:p>
      <w:pPr>
        <w:spacing w:after="50" w:line="360" w:lineRule="auto" w:beforeLines="100"/>
        <w:ind w:left="0"/>
        <w:jc w:val="left"/>
      </w:pPr>
      <w:bookmarkStart w:name="ue5ccb082" w:id="16"/>
      <w:r>
        <w:rPr>
          <w:rFonts w:eastAsia="宋体" w:ascii="宋体"/>
        </w:rPr>
        <w:drawing>
          <wp:inline distT="0" distB="0" distL="0" distR="0">
            <wp:extent cx="5841999" cy="134943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202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</w:p>
    <w:bookmarkEnd w:id="15"/>
    <w:bookmarkStart w:name="u8e17de20" w:id="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市场看似热闹，存量供给却普遍“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不及格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”。按工信部《工业企业和园区数字化能碳管理中心建设指南》（工信厅节〔2025〕13 号）给出的国家级规格——12 项业务功能、六层架构、四类采集方式——多数 EMS 厂商只覆盖前 7 项能耗侧功能；产品碳足迹核算、供应链碳管理、碳核查支撑、碳资产管理这四项碳侧能力，恰是 2026 年起招标文件真正加价的地方。</w:t>
      </w:r>
    </w:p>
    <w:bookmarkEnd w:id="17"/>
    <w:bookmarkStart w:name="u98238301" w:id="18"/>
    <w:p>
      <w:pPr>
        <w:spacing w:after="50" w:line="360" w:lineRule="auto" w:beforeLines="100"/>
        <w:ind w:left="0"/>
        <w:jc w:val="left"/>
      </w:pPr>
      <w:bookmarkStart w:name="ub8459dbc" w:id="19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9"/>
    </w:p>
    <w:bookmarkEnd w:id="18"/>
    <w:bookmarkStart w:name="u156b6389" w:id="2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更深的问题是</w:t>
      </w:r>
      <w:r>
        <w:rPr>
          <w:rFonts w:ascii="宋体" w:hAnsi="Times New Roman" w:eastAsia="宋体"/>
          <w:b/>
          <w:i w:val="false"/>
          <w:color w:val="004347"/>
          <w:sz w:val="22"/>
        </w:rPr>
        <w:t>口径漂移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。国家温室气体排放因子数据库按年度更新，第二版已扩至 576 个因子；电力排放因子又分全国、区域、化石能源多口径并存。如果平台不做因子版本管理，历史报表口径必然逐年漂移——今年算的数字，明年无法复现，核查时必被质疑。此外，“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数据孤岛与协议林立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”仍是落地第一堵点：Modbus、BACnet、私有协议并存，人工抄表普遍，接入完整率成了硬指标。</w:t>
      </w:r>
    </w:p>
    <w:bookmarkEnd w:id="20"/>
    <w:bookmarkStart w:name="u0aaa5c7c" w:id="21"/>
    <w:p>
      <w:pPr>
        <w:spacing w:after="50" w:line="360" w:lineRule="auto" w:beforeLines="100"/>
        <w:ind w:left="0"/>
        <w:jc w:val="left"/>
      </w:pPr>
      <w:bookmarkStart w:name="u989a69f7" w:id="22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2"/>
    </w:p>
    <w:bookmarkEnd w:id="21"/>
    <w:bookmarkStart w:name="u782feb0e" w:id="23"/>
    <w:p>
      <w:pPr>
        <w:spacing w:after="50" w:line="360" w:lineRule="auto" w:beforeLines="100"/>
        <w:ind w:left="0"/>
        <w:jc w:val="left"/>
      </w:pPr>
      <w:bookmarkStart w:name="u1e777f6c" w:id="24"/>
      <w:r>
        <w:rPr>
          <w:rFonts w:eastAsia="宋体" w:ascii="宋体"/>
        </w:rPr>
        <w:drawing>
          <wp:inline distT="0" distB="0" distL="0" distR="0">
            <wp:extent cx="5841999" cy="137870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19066" cy="203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4"/>
    </w:p>
    <w:bookmarkEnd w:id="23"/>
    <w:bookmarkStart w:name="uf6528b95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新一代平台的答案，是把 AI 智能体做成完整的业务团队：</w:t>
      </w:r>
      <w:r>
        <w:rPr>
          <w:rFonts w:ascii="宋体" w:hAnsi="Times New Roman" w:eastAsia="宋体"/>
          <w:b/>
          <w:i w:val="false"/>
          <w:color w:val="004347"/>
          <w:sz w:val="22"/>
        </w:rPr>
        <w:t>数据接入、告警诊断、优化调度、碳核算、绿电溯源、智能巡检、收益核算、报表解读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——八个业务智能体由一个编排中枢统一调度。效果是量级式的：月度碳核算从 3 人天压缩到 5 分钟，异常事件闭环从 2–4 小时缩短到 30 分钟以内，核查材料从数天整理变为一键导出。</w:t>
      </w:r>
    </w:p>
    <w:bookmarkEnd w:id="25"/>
    <w:bookmarkStart w:name="ub3fb15fb" w:id="26"/>
    <w:p>
      <w:pPr>
        <w:spacing w:after="50" w:line="360" w:lineRule="auto" w:beforeLines="100"/>
        <w:ind w:left="0"/>
        <w:jc w:val="left"/>
      </w:pPr>
      <w:bookmarkStart w:name="u96d2f4af" w:id="27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bookmarkEnd w:id="26"/>
    <w:bookmarkStart w:name="u2ece3cfc" w:id="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但真正决定这类产品能否被工业客户接受的，不是演示有多惊艳，而是工程纪律。成熟的架构写死了几条铁律：大模型不写关键业务数据、不碰确定性核算公式、不触发设备控制；智能体之间不用自然语言对话，而是通过事实源表传递结构化数据；所有自动动作走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建议—人工审批—执行—全链路审计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”的闭环；即便模型服务宕机，核算、看板、报告等核心功能仍 100% 可用。黑盒决策在工业现场没有生存空间，“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人在环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”是央企与托管商敢用的前提。</w:t>
      </w:r>
    </w:p>
    <w:bookmarkEnd w:id="28"/>
    <w:bookmarkStart w:name="u04f470ec" w:id="29"/>
    <w:p>
      <w:pPr>
        <w:spacing w:after="50" w:line="360" w:lineRule="auto" w:beforeLines="100"/>
        <w:ind w:left="0"/>
        <w:jc w:val="left"/>
      </w:pPr>
      <w:bookmarkStart w:name="u6425ed1a" w:id="30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0"/>
    </w:p>
    <w:bookmarkEnd w:id="29"/>
    <w:bookmarkStart w:name="uc1f3cd36" w:id="31"/>
    <w:p>
      <w:pPr>
        <w:spacing w:after="50" w:line="360" w:lineRule="auto" w:beforeLines="100"/>
        <w:ind w:left="0"/>
        <w:jc w:val="left"/>
      </w:pPr>
      <w:bookmarkStart w:name="u720b65da" w:id="32"/>
      <w:r>
        <w:rPr>
          <w:rFonts w:eastAsia="宋体" w:ascii="宋体"/>
        </w:rPr>
        <w:drawing>
          <wp:inline distT="0" distB="0" distL="0" distR="0">
            <wp:extent cx="5842000" cy="130852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54534" cy="196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2"/>
    </w:p>
    <w:bookmarkEnd w:id="31"/>
    <w:bookmarkStart w:name="u13dd127a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碳数据的“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可信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”常被简化为“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上区块链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”，这是误读。区块链只解决“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上链后不可篡改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”，而“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上链前真实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”必须靠自研传感器与边缘网关的源头直采，配合 AI 异常识别与计量校验来实现。完整的可信链条是四层：源头真实（直采）、过程留痕（口径、因子版本、人工修改全程可溯）、结果存证（关键凭证不可篡改）、第三方接口（预留核查与认证机构对接）。</w:t>
      </w:r>
    </w:p>
    <w:bookmarkEnd w:id="33"/>
    <w:bookmarkStart w:name="ua9b04885" w:id="34"/>
    <w:p>
      <w:pPr>
        <w:spacing w:after="50" w:line="360" w:lineRule="auto" w:beforeLines="100"/>
        <w:ind w:left="0"/>
        <w:jc w:val="left"/>
      </w:pPr>
      <w:bookmarkStart w:name="u1dd48198" w:id="35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5"/>
    </w:p>
    <w:bookmarkEnd w:id="34"/>
    <w:bookmarkStart w:name="uf8604372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其中最容易被忽视、也最有价值的一环，是</w:t>
      </w:r>
      <w:r>
        <w:rPr>
          <w:rFonts w:ascii="宋体" w:hAnsi="Times New Roman" w:eastAsia="宋体"/>
          <w:b/>
          <w:i w:val="false"/>
          <w:color w:val="004347"/>
          <w:sz w:val="22"/>
        </w:rPr>
        <w:t>因子库版本管理引擎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：因子按年份、区域、能源品种三维版本化，更新走“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变更申请—审批—发布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”流程并自动留痕，版本切换时提供全历史重算与口径差异说明——任何历史时点的报表都能复算复现。它同时命中竞品短板、政策年度更新制与核查认可三重逻辑，堪称一号差异化功能。</w:t>
      </w:r>
    </w:p>
    <w:bookmarkEnd w:id="36"/>
    <w:bookmarkStart w:name="ubbd257c3" w:id="37"/>
    <w:p>
      <w:pPr>
        <w:spacing w:after="50" w:line="360" w:lineRule="auto" w:beforeLines="100"/>
        <w:ind w:left="0"/>
        <w:jc w:val="left"/>
      </w:pPr>
      <w:bookmarkStart w:name="u7a3f08a5" w:id="38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8"/>
    </w:p>
    <w:bookmarkEnd w:id="37"/>
    <w:bookmarkStart w:name="u1b9ce1b7" w:id="3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绿电溯源侧则有一条“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凭证缺失即还原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”的纪律：凭证齐备按零排放因子核算，缺失时自动还原为化石能源口径并提示，确保核算口径在任何核查场景下都站得住。</w:t>
      </w:r>
    </w:p>
    <w:bookmarkEnd w:id="39"/>
    <w:bookmarkStart w:name="ua3cd3f31" w:id="40"/>
    <w:p>
      <w:pPr>
        <w:spacing w:after="50" w:line="360" w:lineRule="auto" w:beforeLines="100"/>
        <w:ind w:left="0"/>
        <w:jc w:val="left"/>
      </w:pPr>
      <w:bookmarkStart w:name="u8e449995" w:id="41"/>
      <w:r>
        <w:rPr>
          <w:rFonts w:eastAsia="宋体" w:ascii="宋体"/>
        </w:rPr>
        <w:drawing>
          <wp:inline distT="0" distB="0" distL="0" distR="0">
            <wp:extent cx="5842000" cy="126761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720666" cy="18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1"/>
    </w:p>
    <w:bookmarkEnd w:id="40"/>
    <w:bookmarkStart w:name="ua7c27351" w:id="4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招标数据印证了爆发：截至 2026 年 8 月，32 个园区发布了 50 余个零碳园区相关招标，总成交超 24 亿元，其中平台类项目约占半数。价格带也清晰可辨——申报编制咨询 60–90 万元，纯软件平台 120–400 万元（如启东智慧能碳平台一期 121 万元，专门面向中小企业），含硬件总包则在千万元级。</w:t>
      </w:r>
    </w:p>
    <w:bookmarkEnd w:id="42"/>
    <w:bookmarkStart w:name="ua9208519" w:id="43"/>
    <w:p>
      <w:pPr>
        <w:spacing w:after="50" w:line="360" w:lineRule="auto" w:beforeLines="100"/>
        <w:ind w:left="0"/>
        <w:jc w:val="left"/>
      </w:pPr>
      <w:bookmarkStart w:name="u2e79ef34" w:id="4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4"/>
    </w:p>
    <w:bookmarkEnd w:id="43"/>
    <w:bookmarkStart w:name="u0b5d7ef7" w:id="4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竞争格局上，硬件系（远景、阳光、华为）、国际自动化系（西门子、施耐德）、云系（腾讯）、通用碳 SaaS（碳阻迹等）各占生态位，多数所谓“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智能体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”仍是 RAG 加工作流的包装。真正的代差窗口在于：具备“</w:t>
      </w:r>
      <w:r>
        <w:rPr>
          <w:rFonts w:ascii="宋体" w:hAnsi="Times New Roman" w:eastAsia="宋体"/>
          <w:b/>
          <w:i w:val="false"/>
          <w:color w:val="004347"/>
          <w:sz w:val="22"/>
        </w:rPr>
        <w:t>边缘直采 + Agent 增值层 + 人在环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”完整能力的私有化方案，对看板类 SaaS 形成结构性优势——而这个窗口，估计只有两到三年。</w:t>
      </w:r>
    </w:p>
    <w:bookmarkEnd w:id="45"/>
    <w:bookmarkStart w:name="u4057c232" w:id="46"/>
    <w:p>
      <w:pPr>
        <w:spacing w:after="50" w:line="360" w:lineRule="auto" w:beforeLines="100"/>
        <w:ind w:left="0"/>
        <w:jc w:val="left"/>
      </w:pPr>
      <w:bookmarkStart w:name="u995ce36c" w:id="47"/>
      <w:r>
        <w:rPr>
          <w:rFonts w:eastAsia="宋体" w:ascii="宋体"/>
        </w:rPr>
        <w:drawing>
          <wp:inline distT="0" distB="0" distL="0" distR="0">
            <wp:extent cx="5842000" cy="136694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754534" cy="20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7"/>
    </w:p>
    <w:bookmarkEnd w:id="46"/>
    <w:bookmarkStart w:name="uc797a5a5" w:id="4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这个赛道最稀缺的不是技术野心，而是边界纪律。三条铁律值得所有从业者对照：不做面向海量小微企业的通用碳 SaaS，那是被免费化与头部客户双重挤压的红海；不做含硬件的千万级总包，那是与硬件巨头的正面战场；不承诺认证结果、不替代第三方核查——平台只保证“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数据可追溯、口径可解释、结果可复现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”，认证由具备资质的机构出具，这既是可信的前提，也是免责的底线。</w:t>
      </w:r>
    </w:p>
    <w:bookmarkEnd w:id="48"/>
    <w:bookmarkStart w:name="u53798efd" w:id="49"/>
    <w:p>
      <w:pPr>
        <w:spacing w:after="50" w:line="360" w:lineRule="auto" w:beforeLines="100"/>
        <w:ind w:left="0"/>
        <w:jc w:val="left"/>
      </w:pPr>
      <w:bookmarkStart w:name="ub6faaec1" w:id="50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0"/>
    </w:p>
    <w:bookmarkEnd w:id="49"/>
    <w:bookmarkStart w:name="ue592c21a" w:id="5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还有一个常被忽略的实操口径：平台必须在园区申报前 3–6 个月上线，才能积累出足以支撑评审的全年数据。销售节奏要卡“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园区申报日历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”，而不是自然年。</w:t>
      </w:r>
    </w:p>
    <w:bookmarkEnd w:id="51"/>
    <w:bookmarkStart w:name="uead9b332" w:id="52"/>
    <w:p>
      <w:pPr>
        <w:spacing w:after="50" w:line="360" w:lineRule="auto" w:beforeLines="100"/>
        <w:ind w:left="0"/>
        <w:jc w:val="left"/>
      </w:pPr>
      <w:bookmarkStart w:name="u827164de" w:id="53"/>
      <w:r>
        <w:rPr>
          <w:rFonts w:eastAsia="宋体" w:ascii="宋体"/>
        </w:rPr>
        <w:drawing>
          <wp:inline distT="0" distB="0" distL="0" distR="0">
            <wp:extent cx="5841999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196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3"/>
    </w:p>
    <w:bookmarkEnd w:id="52"/>
    <w:bookmarkStart w:name="uc0f4c771" w:id="5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2026 年是碳排放双控元年，是 CBAM 实质征收首年，也是 52 个国家级零碳园区的验收爬坡期。三股力量交汇处，能碳管理平台第一次拥有了“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政策必建 + 合规刚需 + 收益可算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”的三重确定性。谁能把 AI 智能体做成可解释、可验证、可审计、可降级的工程能力，而不是一场演示，谁就能在这场零碳大考中，替园区和企业交出经得起核查的答卷。</w:t>
      </w:r>
    </w:p>
    <w:bookmarkEnd w:id="54"/>
    <w:bookmarkStart w:name="u3f0a73f5" w:id="55"/>
    <w:p>
      <w:pPr>
        <w:spacing w:after="50" w:line="360" w:lineRule="auto" w:beforeLines="100"/>
        <w:ind w:left="0"/>
        <w:jc w:val="left"/>
      </w:pPr>
      <w:bookmarkStart w:name="u09da59ae" w:id="56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6"/>
    </w:p>
    <w:bookmarkEnd w:id="55"/>
    <w:bookmarkStart w:name="u0f044376" w:id="57"/>
    <w:p>
      <w:pPr>
        <w:spacing w:after="50" w:line="360" w:lineRule="auto" w:beforeLines="100"/>
        <w:ind w:left="0"/>
        <w:jc w:val="left"/>
      </w:pPr>
      <w:bookmarkStart w:name="HF6a8" w:id="58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8"/>
    </w:p>
    <w:bookmarkEnd w:id="57"/>
    <w:bookmarkStart w:name="u8d2b3d07" w:id="59"/>
    <w:p>
      <w:pPr>
        <w:spacing w:after="50" w:line="360" w:lineRule="auto" w:beforeLines="100"/>
        <w:ind w:left="0"/>
        <w:jc w:val="left"/>
      </w:pPr>
      <w:bookmarkStart w:name="ue00a6830" w:id="60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0"/>
    </w:p>
    <w:bookmarkEnd w:id="59"/>
    <w:bookmarkStart w:name="ubd68c99d" w:id="61"/>
    <w:p>
      <w:pPr>
        <w:spacing w:after="50" w:line="360" w:lineRule="auto" w:beforeLines="100"/>
        <w:ind w:left="0"/>
        <w:jc w:val="left"/>
      </w:pPr>
      <w:bookmarkStart w:name="pdHGx" w:id="62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2"/>
    </w:p>
    <w:bookmarkEnd w:id="61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21" Target="media/document_image_rId21.png" Type="http://schemas.openxmlformats.org/officeDocument/2006/relationships/image"/><Relationship Id="rId22" Target="media/document_image_rId22.png" Type="http://schemas.openxmlformats.org/officeDocument/2006/relationships/image"/><Relationship Id="rId23" Target="media/document_image_rId23.png" Type="http://schemas.openxmlformats.org/officeDocument/2006/relationships/image"/><Relationship Id="rId24" Target="media/document_image_rId24.png" Type="http://schemas.openxmlformats.org/officeDocument/2006/relationships/image"/><Relationship Id="rId25" Target="media/document_image_rId25.png" Type="http://schemas.openxmlformats.org/officeDocument/2006/relationships/image"/><Relationship Id="rId26" Target="media/document_image_rId26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