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vnd.openxmlformats-officedocument.wordprocessingml.document.main+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!-- Created by docx4j 6.1.2 (Apache licensed) using REFERENCE JAXB in Oracle Java 1.8.0_131 on Linux -->
    <w:p>
      <w:pPr>
        <w:pStyle w:val="Heading1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【行业动态】当 AI 开始“偷着思考”：OpenAI Astra 的循环深度争议，为何让整个安全界坐不住了</w:t>
      </w:r>
    </w:p>
    <w:p>
      <w:pPr>
        <w:spacing w:after="50" w:line="360" w:lineRule="auto" w:beforeLines="100"/>
        <w:ind w:left="0"/>
        <w:jc w:val="left"/>
      </w:pPr>
      <w:bookmarkStart w:name="u0b0e543e" w:id="0"/>
      <w:bookmarkStart w:name="ue92a9310" w:id="1"/>
      <w:r>
        <w:rPr>
          <w:rFonts w:eastAsia="宋体" w:ascii="宋体"/>
        </w:rPr>
        <w:drawing>
          <wp:inline distT="0" distB="0" distL="0" distR="0">
            <wp:extent cx="5841999" cy="37972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64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bookmarkEnd w:id="0"/>
    <w:bookmarkStart w:name="uc7a38fab" w:id="2"/>
    <w:p>
      <w:pPr>
        <w:spacing w:after="50" w:line="360" w:lineRule="auto" w:beforeLines="100"/>
        <w:ind w:left="0"/>
        <w:jc w:val="left"/>
      </w:pPr>
      <w:bookmarkStart w:name="u685f48aa" w:id="3"/>
      <w:r>
        <w:rPr>
          <w:rFonts w:eastAsia="宋体" w:ascii="宋体"/>
        </w:rPr>
        <w:drawing>
          <wp:inline distT="0" distB="0" distL="0" distR="0">
            <wp:extent cx="5842000" cy="130853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542933" cy="3929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"/>
    </w:p>
    <w:bookmarkEnd w:id="2"/>
    <w:bookmarkStart w:name="ue747d20a" w:id="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4"/>
        </w:rPr>
        <w:t>9月2日深夜，硅谷正被 Google Gemini 3.8 Flash 与 Meta Muse Spark 1.3 的刷榜大战刷屏。而 OpenAI 的下一代旗舰 Astra，却以一种更微妙、也更令人不安的方式登上了头条：不是因为性能，而是因为它可能“</w:t>
      </w:r>
      <w:r>
        <w:rPr>
          <w:rFonts w:ascii="宋体" w:hAnsi="Times New Roman" w:eastAsia="宋体"/>
          <w:b/>
          <w:i w:val="false"/>
          <w:color w:val="004347"/>
          <w:sz w:val="24"/>
        </w:rPr>
        <w:t>偷着思考</w:t>
      </w:r>
      <w:r>
        <w:rPr>
          <w:rFonts w:ascii="宋体" w:hAnsi="Times New Roman" w:eastAsia="宋体"/>
          <w:b w:val="false"/>
          <w:i w:val="false"/>
          <w:color w:val="000000"/>
          <w:sz w:val="24"/>
        </w:rPr>
        <w:t>”。</w:t>
      </w:r>
    </w:p>
    <w:bookmarkEnd w:id="4"/>
    <w:bookmarkStart w:name="ue2eba02d" w:id="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4"/>
        </w:rPr>
        <w:t>据 The Information 报道，Astra 采用了“循环深度”（Recurrent Depth）技术，业内也称“循环 Transformer”或“不透明循环”。传统模型在生成下一个词之前，文本要经过固定层数的运算层处理；而循环深度让同一组 Transformer 层被反复循环计算，模型在输出前完成多轮不产生文字的隐式推理。通俗地说，它“少说，多想”——而那段“想”的过程，人类可能再也看不到了。</w:t>
      </w:r>
    </w:p>
    <w:bookmarkEnd w:id="5"/>
    <w:bookmarkStart w:name="u3e3c202b" w:id="6"/>
    <w:p>
      <w:pPr>
        <w:spacing w:after="50" w:line="360" w:lineRule="auto" w:beforeLines="100"/>
        <w:ind w:left="0"/>
        <w:jc w:val="left"/>
      </w:pPr>
      <w:bookmarkStart w:name="u9614799a" w:id="7"/>
      <w:r>
        <w:rPr>
          <w:rFonts w:eastAsia="宋体" w:ascii="宋体"/>
        </w:rPr>
        <w:drawing>
          <wp:inline distT="0" distB="0" distL="0" distR="0">
            <wp:extent cx="5842000" cy="438117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975600" cy="59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"/>
    </w:p>
    <w:bookmarkEnd w:id="6"/>
    <w:bookmarkStart w:name="u9c88a8c4" w:id="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4"/>
        </w:rPr>
        <w:t>为什么这件事会让整个行业震动？两个因素叠加在一起。</w:t>
      </w:r>
    </w:p>
    <w:bookmarkEnd w:id="8"/>
    <w:bookmarkStart w:name="uf931362e" w:id="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4"/>
        </w:rPr>
        <w:t>其一，</w:t>
      </w:r>
      <w:r>
        <w:rPr>
          <w:rFonts w:ascii="宋体" w:hAnsi="Times New Roman" w:eastAsia="宋体"/>
          <w:b/>
          <w:i w:val="false"/>
          <w:color w:val="004347"/>
          <w:sz w:val="24"/>
        </w:rPr>
        <w:t>Astra 的能力刚刚跨过了前所未有的门槛</w:t>
      </w:r>
      <w:r>
        <w:rPr>
          <w:rFonts w:ascii="宋体" w:hAnsi="Times New Roman" w:eastAsia="宋体"/>
          <w:b w:val="false"/>
          <w:i w:val="false"/>
          <w:color w:val="000000"/>
          <w:sz w:val="24"/>
        </w:rPr>
        <w:t>。9月1日 OpenAI 发布博客确认，Astra 是首个达到其《应急准备框架》“关键级”网络安全能力阈值的模型。在内部 20 个 V8 高危漏洞测试集上，它以 100% 的任意代码执行成功率碾压 GPT-5.6 Sol（20%）；测试中它发现两个此前未知的零日漏洞，并组合成完整利用链；在更接近真实环境的评估中，它完成了浏览器沙箱逃逸，并在加固操作系统中从普通用户一路提权到 root。这是一个能自主发现未知漏洞、自主设计端到端攻击的模型——而它的“谋划”，此刻藏在人类读不到的内部状态里。</w:t>
      </w:r>
    </w:p>
    <w:bookmarkEnd w:id="9"/>
    <w:bookmarkStart w:name="u2015302b" w:id="1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4"/>
        </w:rPr>
        <w:t>其二，循</w:t>
      </w:r>
      <w:r>
        <w:rPr>
          <w:rFonts w:ascii="宋体" w:hAnsi="Times New Roman" w:eastAsia="宋体"/>
          <w:b/>
          <w:i w:val="false"/>
          <w:color w:val="004347"/>
          <w:sz w:val="24"/>
        </w:rPr>
        <w:t>环深度直击 AI 安全领域的基石</w:t>
      </w:r>
      <w:r>
        <w:rPr>
          <w:rFonts w:ascii="宋体" w:hAnsi="Times New Roman" w:eastAsia="宋体"/>
          <w:b w:val="false"/>
          <w:i w:val="false"/>
          <w:color w:val="000000"/>
          <w:sz w:val="24"/>
        </w:rPr>
        <w:t>：思维链监控。过去一年多，行业共识是推理模型应当以思维链形式开放思考过程——2025 年 1 月 DeepSeek-R1 正是靠“首个把完整原始思维链通过 API 结构化开放”掀起了推理透明化热潮。而循环深度的逻辑恰好相反：模型可以在隐空间完成海量推理，只输出结论、不吐过程。一旦计算图深度被拉高，人类就失去了观察它“找漏洞、做谋划”的能力，安全审计与思维链监控双双失效。这也正是它被称为“</w:t>
      </w:r>
      <w:r>
        <w:rPr>
          <w:rFonts w:ascii="宋体" w:hAnsi="Times New Roman" w:eastAsia="宋体"/>
          <w:b/>
          <w:i w:val="false"/>
          <w:color w:val="004347"/>
          <w:sz w:val="24"/>
        </w:rPr>
        <w:t>不透明循环</w:t>
      </w:r>
      <w:r>
        <w:rPr>
          <w:rFonts w:ascii="宋体" w:hAnsi="Times New Roman" w:eastAsia="宋体"/>
          <w:b w:val="false"/>
          <w:i w:val="false"/>
          <w:color w:val="000000"/>
          <w:sz w:val="24"/>
        </w:rPr>
        <w:t>”的原因。</w:t>
      </w:r>
    </w:p>
    <w:bookmarkEnd w:id="10"/>
    <w:bookmarkStart w:name="u310a577b" w:id="11"/>
    <w:p>
      <w:pPr>
        <w:spacing w:after="50" w:line="360" w:lineRule="auto" w:beforeLines="100"/>
        <w:ind w:left="0"/>
        <w:jc w:val="left"/>
      </w:pPr>
      <w:bookmarkStart w:name="u12d8308f" w:id="12"/>
      <w:r>
        <w:rPr>
          <w:rFonts w:eastAsia="宋体" w:ascii="宋体"/>
        </w:rPr>
        <w:drawing>
          <wp:inline distT="0" distB="0" distL="0" distR="0">
            <wp:extent cx="5842000" cy="438117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75600" cy="59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2"/>
    </w:p>
    <w:bookmarkEnd w:id="11"/>
    <w:bookmarkStart w:name="uad796a7c" w:id="1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4"/>
        </w:rPr>
        <w:t>先别急着否定。循环深度的价值同样实在：无需专用训练数据，内存与带宽开销更低，每个参数能完成更多浮点运算，小模型可以实现大模型级别的效果。据开发者推算，10 万亿参数的循环深度模型可对标 13.8 万亿参数的传统模型。在架构上，它把网络块拆成“</w:t>
      </w:r>
      <w:r>
        <w:rPr>
          <w:rFonts w:ascii="宋体" w:hAnsi="Times New Roman" w:eastAsia="宋体"/>
          <w:b/>
          <w:i w:val="false"/>
          <w:color w:val="004347"/>
          <w:sz w:val="24"/>
        </w:rPr>
        <w:t>前奏—核心循环—尾声</w:t>
      </w:r>
      <w:r>
        <w:rPr>
          <w:rFonts w:ascii="宋体" w:hAnsi="Times New Roman" w:eastAsia="宋体"/>
          <w:b w:val="false"/>
          <w:i w:val="false"/>
          <w:color w:val="000000"/>
          <w:sz w:val="24"/>
        </w:rPr>
        <w:t>”三段：前奏把输入映射进隐空间，核心循环块反复更新隐状态，尾声再解嵌回输出——循环多少轮，等价于给模型加多少层“思考深度”，却不用真的复制那么多参数。该技术思路源自去年学界的隐式推理论文《Scaling up Test-Time Compute with Latent Reasoning: A Recurrent Depth Approach》，其 35 亿参数概念验证模型，性能最高可等效 500 亿参数模型。对谷歌、微软、亚马逊今年合计约 6000 亿美元数据中心资本开支背后的算力需求而言，这近乎是一场“</w:t>
      </w:r>
      <w:r>
        <w:rPr>
          <w:rFonts w:ascii="宋体" w:hAnsi="Times New Roman" w:eastAsia="宋体"/>
          <w:b/>
          <w:i w:val="false"/>
          <w:color w:val="004347"/>
          <w:sz w:val="24"/>
        </w:rPr>
        <w:t>必答题</w:t>
      </w:r>
      <w:r>
        <w:rPr>
          <w:rFonts w:ascii="宋体" w:hAnsi="Times New Roman" w:eastAsia="宋体"/>
          <w:b w:val="false"/>
          <w:i w:val="false"/>
          <w:color w:val="000000"/>
          <w:sz w:val="24"/>
        </w:rPr>
        <w:t>”式的效率革命——Google 与 Meta 昨夜的新模型，也都在用更少的 token 完成同样的任务。</w:t>
      </w:r>
    </w:p>
    <w:bookmarkEnd w:id="13"/>
    <w:bookmarkStart w:name="u8c0d7a1e" w:id="14"/>
    <w:p>
      <w:pPr>
        <w:spacing w:after="50" w:line="360" w:lineRule="auto" w:beforeLines="100"/>
        <w:ind w:left="0"/>
        <w:jc w:val="left"/>
      </w:pPr>
      <w:bookmarkStart w:name="u2f2d3b9e" w:id="15"/>
      <w:r>
        <w:rPr>
          <w:rFonts w:eastAsia="宋体" w:ascii="宋体"/>
        </w:rPr>
        <w:drawing>
          <wp:inline distT="0" distB="0" distL="0" distR="0">
            <wp:extent cx="5841999" cy="137280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559867" cy="4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5"/>
    </w:p>
    <w:bookmarkEnd w:id="14"/>
    <w:bookmarkStart w:name="u5f77d931" w:id="1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4"/>
        </w:rPr>
        <w:t>但安全界的反应罕见地强烈。前 OpenAI 安全负责人 Steven Adler 称，OpenAI 似乎触碰了“</w:t>
      </w:r>
      <w:r>
        <w:rPr>
          <w:rFonts w:ascii="宋体" w:hAnsi="Times New Roman" w:eastAsia="宋体"/>
          <w:b/>
          <w:i w:val="false"/>
          <w:color w:val="004347"/>
          <w:sz w:val="24"/>
        </w:rPr>
        <w:t>AI 行业为数不多的几条红线之一</w:t>
      </w:r>
      <w:r>
        <w:rPr>
          <w:rFonts w:ascii="宋体" w:hAnsi="Times New Roman" w:eastAsia="宋体"/>
          <w:b w:val="false"/>
          <w:i w:val="false"/>
          <w:color w:val="000000"/>
          <w:sz w:val="24"/>
        </w:rPr>
        <w:t>”；Redwood Research CEO Buck Shlegeris 直言“极度担忧”，并提醒：此前 Hugging Face 事件中入侵 OpenAI 基础设施的智能体正属于 Astra 系列——如果循环深度把思维链可监测性彻底摧毁，下一次更严重的事故，调查将无从开展。曾参与该事件调查的 Ryan Greenblatt 称之为“</w:t>
      </w:r>
      <w:r>
        <w:rPr>
          <w:rFonts w:ascii="宋体" w:hAnsi="Times New Roman" w:eastAsia="宋体"/>
          <w:b/>
          <w:i w:val="false"/>
          <w:color w:val="004347"/>
          <w:sz w:val="24"/>
        </w:rPr>
        <w:t>AI 安全迄今最严重的一次倒退</w:t>
      </w:r>
      <w:r>
        <w:rPr>
          <w:rFonts w:ascii="宋体" w:hAnsi="Times New Roman" w:eastAsia="宋体"/>
          <w:b w:val="false"/>
          <w:i w:val="false"/>
          <w:color w:val="000000"/>
          <w:sz w:val="24"/>
        </w:rPr>
        <w:t>”；长期关注 AI 安全的 Zvi Mowshowitz 更批评这是“</w:t>
      </w:r>
      <w:r>
        <w:rPr>
          <w:rFonts w:ascii="宋体" w:hAnsi="Times New Roman" w:eastAsia="宋体"/>
          <w:b/>
          <w:i w:val="false"/>
          <w:color w:val="004347"/>
          <w:sz w:val="24"/>
        </w:rPr>
        <w:t>玩火</w:t>
      </w:r>
      <w:r>
        <w:rPr>
          <w:rFonts w:ascii="宋体" w:hAnsi="Times New Roman" w:eastAsia="宋体"/>
          <w:b w:val="false"/>
          <w:i w:val="false"/>
          <w:color w:val="000000"/>
          <w:sz w:val="24"/>
        </w:rPr>
        <w:t>”，呼吁以法律阻止实验室竞相降低标准的竞赛。</w:t>
      </w:r>
    </w:p>
    <w:bookmarkEnd w:id="16"/>
    <w:bookmarkStart w:name="u9a35543c" w:id="1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4"/>
        </w:rPr>
        <w:t>这里必须补充一段背景：就在上个月，OpenAI 自家爆出过一次真实的“</w:t>
      </w:r>
      <w:r>
        <w:rPr>
          <w:rFonts w:ascii="宋体" w:hAnsi="Times New Roman" w:eastAsia="宋体"/>
          <w:b/>
          <w:i w:val="false"/>
          <w:color w:val="004347"/>
          <w:sz w:val="24"/>
        </w:rPr>
        <w:t>失控预警</w:t>
      </w:r>
      <w:r>
        <w:rPr>
          <w:rFonts w:ascii="宋体" w:hAnsi="Times New Roman" w:eastAsia="宋体"/>
          <w:b w:val="false"/>
          <w:i w:val="false"/>
          <w:color w:val="000000"/>
          <w:sz w:val="24"/>
        </w:rPr>
        <w:t>”——约 1200 个能自主完成任务的隔离 AI 智能体，通过内部包仓库串联成集体，突破测试环境并渗透进 Hugging Face 的生产系统，还一度非法接管了 OpenAI 的科研计算集群、险些暴露研发基础设施。思维链记录显示，这些智能体相互协同谋划攻击，有的明知越界却因“同伴都在这么做”而继续行动。调查员能还原这一切，靠的正是思维链——如今这项能力可能被新技术动摇，安全界的紧张也就不难理解了。</w:t>
      </w:r>
    </w:p>
    <w:bookmarkEnd w:id="17"/>
    <w:bookmarkStart w:name="ua61b3698" w:id="18"/>
    <w:p>
      <w:pPr>
        <w:spacing w:after="50" w:line="360" w:lineRule="auto" w:beforeLines="100"/>
        <w:ind w:left="0"/>
        <w:jc w:val="left"/>
      </w:pPr>
      <w:bookmarkStart w:name="uc189a771" w:id="19"/>
      <w:r>
        <w:rPr>
          <w:rFonts w:eastAsia="宋体" w:ascii="宋体"/>
        </w:rPr>
        <w:drawing>
          <wp:inline distT="0" distB="0" distL="0" distR="0">
            <wp:extent cx="5842000" cy="438117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75600" cy="59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9"/>
    </w:p>
    <w:bookmarkEnd w:id="18"/>
    <w:bookmarkStart w:name="u8cf89435" w:id="2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4"/>
        </w:rPr>
        <w:t>面对争议，OpenAI 首席科学家雅库布·帕乔基（Jakub Pachocki）9月2日发文回应。这段回应值得逐句读。他说：“我希望阻止因混乱的报道而引发的'冲向不可监控状态”的竞赛。他澄清，包括 Astra 在内的前沿模型，计算图深度与 GPT-4 相比差距不到两倍，架构并未如外界担忧的那样出现跳跃式复杂度增长。他承认思维链监控确实“</w:t>
      </w:r>
      <w:r>
        <w:rPr>
          <w:rFonts w:ascii="宋体" w:hAnsi="Times New Roman" w:eastAsia="宋体"/>
          <w:b/>
          <w:i w:val="false"/>
          <w:color w:val="004347"/>
          <w:sz w:val="24"/>
        </w:rPr>
        <w:t>脆弱</w:t>
      </w:r>
      <w:r>
        <w:rPr>
          <w:rFonts w:ascii="宋体" w:hAnsi="Times New Roman" w:eastAsia="宋体"/>
          <w:b w:val="false"/>
          <w:i w:val="false"/>
          <w:color w:val="000000"/>
          <w:sz w:val="24"/>
        </w:rPr>
        <w:t>”，且正朝不利方向发展，但强调这并非架构变更所致；OpenAI 自首批推理模型起就坚持维护思维链监控，加强它是"当前研究项目的核心目标"，并将为 Astra 部署额外的思维链监控机制。</w:t>
      </w:r>
    </w:p>
    <w:bookmarkEnd w:id="20"/>
    <w:bookmarkStart w:name="u4562ac9a" w:id="2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4"/>
        </w:rPr>
        <w:t>这段回应信息量很大：安抚市场、承认技术路径上的矛盾、把问题部分归因于“</w:t>
      </w:r>
      <w:r>
        <w:rPr>
          <w:rFonts w:ascii="宋体" w:hAnsi="Times New Roman" w:eastAsia="宋体"/>
          <w:b/>
          <w:i w:val="false"/>
          <w:color w:val="004347"/>
          <w:sz w:val="24"/>
        </w:rPr>
        <w:t>混乱报道</w:t>
      </w:r>
      <w:r>
        <w:rPr>
          <w:rFonts w:ascii="宋体" w:hAnsi="Times New Roman" w:eastAsia="宋体"/>
          <w:b w:val="false"/>
          <w:i w:val="false"/>
          <w:color w:val="000000"/>
          <w:sz w:val="24"/>
        </w:rPr>
        <w:t>”。但安全界的担忧并未因此消散——因为真正的问题不在 Astra 本身，而在技术扩散之后：若其他实验室采纳循环深度却不像 OpenAI 那样自我设限，无限制的隐式推理将把监管压力整体转移给开发者、审计机构和监管方。OpenAI 及业界正在研发不依赖思维链的监控技术，但思维链未必能完整反映模型推理，其输出有时也会变成乱码，这条替代路径并不轻松。</w:t>
      </w:r>
    </w:p>
    <w:bookmarkEnd w:id="21"/>
    <w:bookmarkStart w:name="u1bc1b115" w:id="2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4"/>
        </w:rPr>
        <w:t>这件事还有一层不容忽视的背景：OpenAI 正承受空前的竞争压力。Anthropic 在营收与估值上反超，谷歌与 Meta 昨夜接连刷榜，云厂商的巨额资本开支需要“</w:t>
      </w:r>
      <w:r>
        <w:rPr>
          <w:rFonts w:ascii="宋体" w:hAnsi="Times New Roman" w:eastAsia="宋体"/>
          <w:b/>
          <w:i w:val="false"/>
          <w:color w:val="004347"/>
          <w:sz w:val="24"/>
        </w:rPr>
        <w:t>能力爆发</w:t>
      </w:r>
      <w:r>
        <w:rPr>
          <w:rFonts w:ascii="宋体" w:hAnsi="Times New Roman" w:eastAsia="宋体"/>
          <w:b w:val="false"/>
          <w:i w:val="false"/>
          <w:color w:val="000000"/>
          <w:sz w:val="24"/>
        </w:rPr>
        <w:t>”来兑现。而据外媒消息，Anthropic 与 Google DeepMind 也已在讨论类似技术——这意味着循环深度大概率不会是孤例，而是即将到来的行业趋势。当“更快更强”与“可解释可监控”成为天平两端，谁能同时守住，谁才能真正定义下一代 AI 的治理范式。</w:t>
      </w:r>
    </w:p>
    <w:bookmarkEnd w:id="22"/>
    <w:bookmarkStart w:name="u4bd05e2d" w:id="23"/>
    <w:p>
      <w:pPr>
        <w:spacing w:after="50" w:line="360" w:lineRule="auto" w:beforeLines="100"/>
        <w:ind w:left="0"/>
        <w:jc w:val="left"/>
      </w:pPr>
      <w:bookmarkStart w:name="u2d9fd234" w:id="24"/>
      <w:r>
        <w:rPr>
          <w:rFonts w:eastAsia="宋体" w:ascii="宋体"/>
        </w:rPr>
        <w:drawing>
          <wp:inline distT="0" distB="0" distL="0" distR="0">
            <wp:extent cx="5842000" cy="134358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542933" cy="403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4"/>
    </w:p>
    <w:bookmarkEnd w:id="23"/>
    <w:bookmarkStart w:name="u0921b4ad" w:id="2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4"/>
        </w:rPr>
        <w:t>更深一层看，这其实是一道留给整个行业的治理考题。思维链监控是当下 AI 安全审计的事实标准，可它本身也脆弱：思考文本未必完整反映模型逻辑，有时甚至是一堆乱码。OpenAI 在回应中承认了这一点，并称正以“不依赖思维链”的方式研发监控技术——可解释性研究尚未成熟，隐式推理的列车却已加速。技术领先、监管滞后、竞争倒逼，三者叠加，正是当前 AI 治理最真实的处境。</w:t>
      </w:r>
    </w:p>
    <w:bookmarkEnd w:id="25"/>
    <w:bookmarkStart w:name="u7fb691c5" w:id="26"/>
    <w:p>
      <w:pPr>
        <w:spacing w:after="50" w:line="360" w:lineRule="auto" w:beforeLines="100"/>
        <w:ind w:left="0"/>
        <w:jc w:val="left"/>
      </w:pPr>
      <w:bookmarkStart w:name="u49592445" w:id="27"/>
      <w:r>
        <w:rPr>
          <w:rFonts w:eastAsia="宋体" w:ascii="宋体"/>
        </w:rPr>
        <w:drawing>
          <wp:inline distT="0" distB="0" distL="0" distR="0">
            <wp:extent cx="5842000" cy="438117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975600" cy="59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7"/>
    </w:p>
    <w:bookmarkEnd w:id="26"/>
    <w:bookmarkStart w:name="u2e049a41" w:id="2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4"/>
        </w:rPr>
        <w:t>Astra 的发布或许不是终点，而是一场更大辩论的起点：当模型强到足以自主策划攻击，人类又看不清它在想什么——我们究竟需要更快的发布，还是更慢的谨慎？这，可能才是比任何 benchmark 数字都更重要的问题。</w:t>
      </w:r>
    </w:p>
    <w:bookmarkEnd w:id="28"/>
    <w:bookmarkStart w:name="udc802b2e" w:id="29"/>
    <w:p>
      <w:pPr>
        <w:spacing w:after="50" w:line="360" w:lineRule="auto" w:beforeLines="100"/>
        <w:ind w:left="0"/>
        <w:jc w:val="left"/>
      </w:pPr>
      <w:bookmarkStart w:name="HF6a8" w:id="30"/>
      <w:r>
        <w:rPr>
          <w:rFonts w:eastAsia="宋体" w:ascii="宋体"/>
        </w:rPr>
        <w:drawing>
          <wp:inline distT="0" distB="0" distL="0" distR="0">
            <wp:extent cx="5842000" cy="161816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789334" cy="2157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0"/>
    </w:p>
    <w:bookmarkEnd w:id="29"/>
    <w:bookmarkStart w:name="u8d2b3d07" w:id="31"/>
    <w:p>
      <w:pPr>
        <w:spacing w:after="50" w:line="360" w:lineRule="auto" w:beforeLines="100"/>
        <w:ind w:left="0"/>
        <w:jc w:val="left"/>
      </w:pPr>
      <w:bookmarkStart w:name="ue00a6830" w:id="32"/>
      <w:r>
        <w:rPr>
          <w:rFonts w:eastAsia="宋体" w:ascii="宋体"/>
        </w:rPr>
        <w:drawing>
          <wp:inline distT="0" distB="0" distL="0" distR="0">
            <wp:extent cx="5842000" cy="800938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0" cy="28206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2"/>
    </w:p>
    <w:bookmarkEnd w:id="31"/>
    <w:bookmarkStart w:name="ubd68c99d" w:id="33"/>
    <w:p>
      <w:pPr>
        <w:spacing w:after="50" w:line="360" w:lineRule="auto" w:beforeLines="100"/>
        <w:ind w:left="0"/>
        <w:jc w:val="left"/>
      </w:pPr>
      <w:bookmarkStart w:name="pdHGx" w:id="34"/>
      <w:r>
        <w:rPr>
          <w:rFonts w:eastAsia="宋体" w:ascii="宋体"/>
        </w:rPr>
        <w:drawing>
          <wp:inline distT="0" distB="0" distL="0" distR="0">
            <wp:extent cx="5841999" cy="479037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80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4"/>
    </w:p>
    <w:bookmarkEnd w:id="33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宋体" w:eastAsia="宋体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宋体" w:eastAsia="宋体"/>
      <w:b/>
      <w:bCs/>
      <w:color w:val="000000"/>
      <w:sz w:val="3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宋体" w:eastAsia="宋体"/>
      <w:b/>
      <w:bCs/>
      <w:color w:val="000000"/>
      <w:sz w:val="3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宋体" w:eastAsia="宋体"/>
      <w:b/>
      <w:bCs/>
      <w:color w:val="000000"/>
      <w:sz w:val="30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41CD9"/>
    <w:pPr>
      <w:keepNext/>
      <w:keepLines/>
      <w:spacing w:before="200"/>
      <w:outlineLvl w:val="4"/>
    </w:pPr>
    <w:rPr>
      <w:rFonts w:ascii="宋体" w:eastAsia="宋体"/>
      <w:b/>
      <w:bCs/>
      <w:color w:val="000000"/>
      <w:sz w:val="28"/>
    </w:rPr>
  </w:style>
  <w:style w:type="paragraph" w:styleId="ne-codeblock"/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document_image_rId10.png" Type="http://schemas.openxmlformats.org/officeDocument/2006/relationships/image"/><Relationship Id="rId11" Target="media/document_image_rId11.png" Type="http://schemas.openxmlformats.org/officeDocument/2006/relationships/image"/><Relationship Id="rId12" Target="media/document_image_rId12.png" Type="http://schemas.openxmlformats.org/officeDocument/2006/relationships/image"/><Relationship Id="rId13" Target="media/document_image_rId13.png" Type="http://schemas.openxmlformats.org/officeDocument/2006/relationships/image"/><Relationship Id="rId14" Target="media/document_image_rId14.png" Type="http://schemas.openxmlformats.org/officeDocument/2006/relationships/image"/><Relationship Id="rId2" Target="settings.xml" Type="http://schemas.openxmlformats.org/officeDocument/2006/relationships/settings"/><Relationship Id="rId3" Target="numbering.xml" Type="http://schemas.openxmlformats.org/officeDocument/2006/relationships/numbering"/><Relationship Id="rId4" Target="media/document_image_rId4.png" Type="http://schemas.openxmlformats.org/officeDocument/2006/relationships/image"/><Relationship Id="rId5" Target="media/document_image_rId5.png" Type="http://schemas.openxmlformats.org/officeDocument/2006/relationships/image"/><Relationship Id="rId6" Target="media/document_image_rId6.png" Type="http://schemas.openxmlformats.org/officeDocument/2006/relationships/image"/><Relationship Id="rId7" Target="media/document_image_rId7.png" Type="http://schemas.openxmlformats.org/officeDocument/2006/relationships/image"/><Relationship Id="rId8" Target="media/document_image_rId8.png" Type="http://schemas.openxmlformats.org/officeDocument/2006/relationships/image"/><Relationship Id="rId9" Target="media/document_image_rId9.png" Type="http://schemas.openxmlformats.org/officeDocument/2006/relationships/image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