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光伏清洁机器人控制器</w:t>
      </w:r>
    </w:p>
    <w:p>
      <w:pPr>
        <w:pStyle w:val="Heading3"/>
        <w:spacing w:after="50" w:line="360" w:lineRule="auto" w:beforeLines="100"/>
        <w:ind w:left="0"/>
        <w:jc w:val="left"/>
      </w:pPr>
      <w:bookmarkStart w:name="EfzEi" w:id="0"/>
      <w:r>
        <w:rPr>
          <w:rFonts w:ascii="宋体" w:hAnsi="Times New Roman" w:eastAsia="宋体"/>
          <w:color w:val="404040"/>
        </w:rPr>
        <w:t>一、产品概述</w:t>
      </w:r>
    </w:p>
    <w:bookmarkEnd w:id="0"/>
    <w:bookmarkStart w:name="u0b7ded44" w:id="1"/>
    <w:p>
      <w:pPr>
        <w:spacing w:after="50" w:line="360" w:lineRule="auto" w:beforeLines="100"/>
        <w:ind w:left="0"/>
        <w:jc w:val="left"/>
      </w:pPr>
      <w:r>
        <w:rPr>
          <w:rFonts w:ascii="宋体" w:hAnsi="Times New Roman" w:eastAsia="宋体"/>
          <w:b w:val="false"/>
          <w:i w:val="false"/>
          <w:color w:val="404040"/>
          <w:sz w:val="28"/>
        </w:rPr>
        <w:t>轨物科技光伏清洁机器人控制器是自主研发的嵌入式核心控制硬件，安装在光伏清洁机器人本体内部，是机器人自主运行和远程调度的"大脑"。控制器集成电机驱动控制、路径规划、环境感知、无线通讯和电源管理功能于一体，结合远程运维平台实现光伏清洁机器人从本地遥控到远程自主作业的智能化升级。该控制器已服务于各类受高污染、多灰尘、积雪和鸟粪困扰的光伏电站，在多种复杂环境下验证了良好的适装性、运行稳定性和经济性。</w:t>
      </w:r>
    </w:p>
    <w:bookmarkEnd w:id="1"/>
    <w:bookmarkStart w:name="u92319915" w:id="2"/>
    <w:p>
      <w:pPr>
        <w:spacing w:after="50" w:line="360" w:lineRule="auto" w:beforeLines="100"/>
        <w:ind w:left="0"/>
        <w:jc w:val="left"/>
      </w:pPr>
      <w:bookmarkStart w:name="AITVr" w:id="3"/>
      <w:r>
        <w:rPr>
          <w:rFonts w:eastAsia="宋体" w:ascii="宋体"/>
        </w:rPr>
        <w:drawing>
          <wp:inline distT="0" distB="0" distL="0" distR="0">
            <wp:extent cx="5842000" cy="438144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951200" cy="11963250"/>
                    </a:xfrm>
                    <a:prstGeom prst="rect">
                      <a:avLst/>
                    </a:prstGeom>
                  </pic:spPr>
                </pic:pic>
              </a:graphicData>
            </a:graphic>
          </wp:inline>
        </w:drawing>
      </w:r>
      <w:bookmarkEnd w:id="3"/>
    </w:p>
    <w:bookmarkEnd w:id="2"/>
    <w:bookmarkStart w:name="KKwfY" w:id="4"/>
    <w:p>
      <w:pPr>
        <w:pStyle w:val="Heading3"/>
        <w:spacing w:after="50" w:line="360" w:lineRule="auto" w:beforeLines="100"/>
        <w:ind w:left="0"/>
        <w:jc w:val="left"/>
      </w:pPr>
      <w:r>
        <w:rPr>
          <w:rFonts w:ascii="宋体" w:hAnsi="Times New Roman" w:eastAsia="宋体"/>
          <w:color w:val="404040"/>
        </w:rPr>
        <w:t>二、产品特性</w:t>
      </w:r>
    </w:p>
    <w:bookmarkEnd w:id="4"/>
    <w:bookmarkStart w:name="u68f64b3f" w:id="5"/>
    <w:p>
      <w:pPr>
        <w:numPr>
          <w:ilvl w:val="0"/>
          <w:numId w:val="1"/>
        </w:numPr>
        <w:spacing w:after="50" w:line="360" w:lineRule="auto" w:beforeLines="100"/>
        <w:ind w:left="360"/>
        <w:jc w:val="left"/>
      </w:pPr>
      <w:r>
        <w:rPr>
          <w:rFonts w:ascii="宋体" w:hAnsi="Times New Roman" w:eastAsia="宋体"/>
          <w:b w:val="false"/>
          <w:i w:val="false"/>
          <w:color w:val="000000"/>
          <w:sz w:val="22"/>
        </w:rPr>
        <w:t>高稳定性</w:t>
      </w:r>
      <w:r>
        <w:rPr>
          <w:rFonts w:ascii="宋体" w:hAnsi="Times New Roman" w:eastAsia="宋体"/>
          <w:b w:val="false"/>
          <w:i w:val="false"/>
          <w:color w:val="404040"/>
          <w:sz w:val="28"/>
        </w:rPr>
        <w:t>：支持断线重连和异常自动恢复，内置系统自监控和硬件看门狗，确保设备7×24小时实时在线</w:t>
      </w:r>
    </w:p>
    <w:bookmarkEnd w:id="5"/>
    <w:bookmarkStart w:name="u7959c36a" w:id="6"/>
    <w:p>
      <w:pPr>
        <w:numPr>
          <w:ilvl w:val="0"/>
          <w:numId w:val="1"/>
        </w:numPr>
        <w:spacing w:after="50" w:line="360" w:lineRule="auto" w:beforeLines="100"/>
        <w:ind w:left="360"/>
        <w:jc w:val="left"/>
      </w:pPr>
      <w:r>
        <w:rPr>
          <w:rFonts w:ascii="宋体" w:hAnsi="Times New Roman" w:eastAsia="宋体"/>
          <w:b w:val="false"/>
          <w:i w:val="false"/>
          <w:color w:val="000000"/>
          <w:sz w:val="22"/>
        </w:rPr>
        <w:t>高安全性</w:t>
      </w:r>
      <w:r>
        <w:rPr>
          <w:rFonts w:ascii="宋体" w:hAnsi="Times New Roman" w:eastAsia="宋体"/>
          <w:b w:val="false"/>
          <w:i w:val="false"/>
          <w:color w:val="404040"/>
          <w:sz w:val="28"/>
        </w:rPr>
        <w:t>：硬件授权接入机制，支持安全加密通讯，防止非法设备接入和控制指令篡改</w:t>
      </w:r>
    </w:p>
    <w:bookmarkEnd w:id="6"/>
    <w:bookmarkStart w:name="u689b78f0" w:id="7"/>
    <w:p>
      <w:pPr>
        <w:numPr>
          <w:ilvl w:val="0"/>
          <w:numId w:val="1"/>
        </w:numPr>
        <w:spacing w:after="50" w:line="360" w:lineRule="auto" w:beforeLines="100"/>
        <w:ind w:left="360"/>
        <w:jc w:val="left"/>
      </w:pPr>
      <w:r>
        <w:rPr>
          <w:rFonts w:ascii="宋体" w:hAnsi="Times New Roman" w:eastAsia="宋体"/>
          <w:b w:val="false"/>
          <w:i w:val="false"/>
          <w:color w:val="000000"/>
          <w:sz w:val="22"/>
        </w:rPr>
        <w:t>联网节流</w:t>
      </w:r>
      <w:r>
        <w:rPr>
          <w:rFonts w:ascii="宋体" w:hAnsi="Times New Roman" w:eastAsia="宋体"/>
          <w:b w:val="false"/>
          <w:i w:val="false"/>
          <w:color w:val="404040"/>
          <w:sz w:val="28"/>
        </w:rPr>
        <w:t>：联网算法稳定可靠，支持差异化数据上报——正常运行时低频巡检、异常事件实时推送，有效节省流量</w:t>
      </w:r>
    </w:p>
    <w:bookmarkEnd w:id="7"/>
    <w:bookmarkStart w:name="u2d28a9c0" w:id="8"/>
    <w:p>
      <w:pPr>
        <w:numPr>
          <w:ilvl w:val="0"/>
          <w:numId w:val="1"/>
        </w:numPr>
        <w:spacing w:after="50" w:line="360" w:lineRule="auto" w:beforeLines="100"/>
        <w:ind w:left="360"/>
        <w:jc w:val="left"/>
      </w:pPr>
      <w:r>
        <w:rPr>
          <w:rFonts w:ascii="宋体" w:hAnsi="Times New Roman" w:eastAsia="宋体"/>
          <w:b w:val="false"/>
          <w:i w:val="false"/>
          <w:color w:val="000000"/>
          <w:sz w:val="22"/>
        </w:rPr>
        <w:t>远程调试</w:t>
      </w:r>
      <w:r>
        <w:rPr>
          <w:rFonts w:ascii="宋体" w:hAnsi="Times New Roman" w:eastAsia="宋体"/>
          <w:b w:val="false"/>
          <w:i w:val="false"/>
          <w:color w:val="404040"/>
          <w:sz w:val="28"/>
        </w:rPr>
        <w:t>：支持远程参数读写和控制，运维人员无需赴现场即可完成参数调整和程序上传下载</w:t>
      </w:r>
    </w:p>
    <w:bookmarkEnd w:id="8"/>
    <w:bookmarkStart w:name="ud632b6f0" w:id="9"/>
    <w:p>
      <w:pPr>
        <w:numPr>
          <w:ilvl w:val="0"/>
          <w:numId w:val="1"/>
        </w:numPr>
        <w:spacing w:after="50" w:line="360" w:lineRule="auto" w:beforeLines="100"/>
        <w:ind w:left="360"/>
        <w:jc w:val="left"/>
      </w:pPr>
      <w:r>
        <w:rPr>
          <w:rFonts w:ascii="宋体" w:hAnsi="Times New Roman" w:eastAsia="宋体"/>
          <w:b w:val="false"/>
          <w:i w:val="false"/>
          <w:color w:val="000000"/>
          <w:sz w:val="22"/>
        </w:rPr>
        <w:t>多模通讯</w:t>
      </w:r>
      <w:r>
        <w:rPr>
          <w:rFonts w:ascii="宋体" w:hAnsi="Times New Roman" w:eastAsia="宋体"/>
          <w:b w:val="false"/>
          <w:i w:val="false"/>
          <w:color w:val="404040"/>
          <w:sz w:val="28"/>
        </w:rPr>
        <w:t>：支持4G、LoRaWAN和WiFi三种无线通讯方式，根据场区信号条件灵活配置和自动切换</w:t>
      </w:r>
    </w:p>
    <w:bookmarkEnd w:id="9"/>
    <w:bookmarkStart w:name="uf485c57d" w:id="10"/>
    <w:p>
      <w:pPr>
        <w:spacing w:after="50" w:line="360" w:lineRule="auto" w:beforeLines="100"/>
        <w:ind w:left="0"/>
        <w:jc w:val="left"/>
      </w:pPr>
      <w:bookmarkStart w:name="u733c5577" w:id="11"/>
      <w:r>
        <w:rPr>
          <w:rFonts w:eastAsia="宋体" w:ascii="宋体"/>
        </w:rPr>
        <w:drawing>
          <wp:inline distT="0" distB="0" distL="0" distR="0">
            <wp:extent cx="5842000" cy="389641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92667" cy="8865764"/>
                    </a:xfrm>
                    <a:prstGeom prst="rect">
                      <a:avLst/>
                    </a:prstGeom>
                  </pic:spPr>
                </pic:pic>
              </a:graphicData>
            </a:graphic>
          </wp:inline>
        </w:drawing>
      </w:r>
      <w:bookmarkEnd w:id="11"/>
    </w:p>
    <w:bookmarkEnd w:id="10"/>
    <w:bookmarkStart w:name="xKxu4" w:id="12"/>
    <w:p>
      <w:pPr>
        <w:pStyle w:val="Heading3"/>
        <w:spacing w:after="50" w:line="360" w:lineRule="auto" w:beforeLines="100"/>
        <w:ind w:left="0"/>
        <w:jc w:val="left"/>
      </w:pPr>
      <w:r>
        <w:rPr>
          <w:rFonts w:ascii="宋体" w:hAnsi="Times New Roman" w:eastAsia="宋体"/>
          <w:color w:val="404040"/>
        </w:rPr>
        <w:t>三、技术架构</w:t>
      </w:r>
    </w:p>
    <w:bookmarkEnd w:id="12"/>
    <w:bookmarkStart w:name="ud56bc050" w:id="13"/>
    <w:p>
      <w:pPr>
        <w:spacing w:after="50" w:line="360" w:lineRule="auto" w:beforeLines="100"/>
        <w:ind w:left="0"/>
        <w:jc w:val="left"/>
      </w:pPr>
      <w:r>
        <w:rPr>
          <w:rFonts w:ascii="宋体" w:hAnsi="Times New Roman" w:eastAsia="宋体"/>
          <w:b w:val="false"/>
          <w:i w:val="false"/>
          <w:color w:val="404040"/>
          <w:sz w:val="28"/>
        </w:rPr>
        <w:t>控制器以内置微处理器为核心，通过电机驱动模块独立控制行走电机和清扫电机，实现多路电机协同调速。板载陀螺仪和里程计融合定位，配合红外和超声波传感器实现组件边缘检测和障碍物识别。通讯方面集成4G蜂窝模组、LoRa模组和WiFi模组三模合一，系统根据信号质量自动选择最优链路。电源管理模块支持多级低功耗休眠和自动回充对接控制，在控制板电量低于返航阈值时自动中断任务优先返回充电桩。控制器同时预留光伏补电接口，支持清洁作业中涓流补电延长续航。</w:t>
      </w:r>
    </w:p>
    <w:bookmarkEnd w:id="13"/>
    <w:bookmarkStart w:name="udbe2e3e5" w:id="14"/>
    <w:p>
      <w:pPr>
        <w:spacing w:after="50" w:line="360" w:lineRule="auto" w:beforeLines="100"/>
        <w:ind w:left="0"/>
        <w:jc w:val="left"/>
      </w:pPr>
      <w:bookmarkStart w:name="u04141b2a" w:id="15"/>
      <w:r>
        <w:rPr>
          <w:rFonts w:eastAsia="宋体" w:ascii="宋体"/>
        </w:rPr>
        <w:drawing>
          <wp:inline distT="0" distB="0" distL="0" distR="0">
            <wp:extent cx="5842000" cy="389641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92667" cy="8865764"/>
                    </a:xfrm>
                    <a:prstGeom prst="rect">
                      <a:avLst/>
                    </a:prstGeom>
                  </pic:spPr>
                </pic:pic>
              </a:graphicData>
            </a:graphic>
          </wp:inline>
        </w:drawing>
      </w:r>
      <w:bookmarkEnd w:id="15"/>
    </w:p>
    <w:bookmarkEnd w:id="14"/>
    <w:bookmarkStart w:name="xqeKf" w:id="16"/>
    <w:p>
      <w:pPr>
        <w:pStyle w:val="Heading3"/>
        <w:spacing w:after="50" w:line="360" w:lineRule="auto" w:beforeLines="100"/>
        <w:ind w:left="0"/>
        <w:jc w:val="left"/>
      </w:pPr>
      <w:r>
        <w:rPr>
          <w:rFonts w:ascii="宋体" w:hAnsi="Times New Roman" w:eastAsia="宋体"/>
          <w:color w:val="404040"/>
        </w:rPr>
        <w:t>四、核心功能</w:t>
      </w:r>
    </w:p>
    <w:bookmarkEnd w:id="16"/>
    <w:bookmarkStart w:name="tTICp" w:id="17"/>
    <w:tbl>
      <w:tblPr>
        <w:tblW w:w="0" w:type="auto"/>
        <w:tblCellSpacing w:w="0" w:type="auto"/>
        <w:tblInd w:w="115" w:type="dxa"/>
        <w:tblBorders>
          <w:top w:val="single" w:color="cccccc" w:sz="8"/>
          <w:left w:val="single" w:color="cccccc" w:sz="8"/>
          <w:bottom w:val="single" w:color="cccccc" w:sz="8"/>
          <w:right w:val="single" w:color="cccccc" w:sz="8"/>
          <w:insideH w:val="none"/>
          <w:insideV w:val="none"/>
        </w:tblBorders>
      </w:tblPr>
      <w:tblGrid>
        <w:gridCol w:w="4516"/>
        <w:gridCol w:w="4601"/>
        <w:gridCol w:w="4517"/>
      </w:tblGrid>
      <w:tr>
        <w:trPr>
          <w:trHeight w:val="495" w:hRule="atLeast"/>
        </w:trPr>
        <w:tc>
          <w:tcPr>
            <w:tcW w:w="4516"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79c5f64c" w:id="18"/>
          <w:p>
            <w:pPr>
              <w:spacing w:after="50" w:line="360" w:lineRule="auto" w:beforeLines="100"/>
              <w:ind w:left="0"/>
              <w:jc w:val="left"/>
            </w:pPr>
            <w:r>
              <w:rPr>
                <w:rFonts w:ascii="宋体" w:hAnsi="Times New Roman" w:eastAsia="宋体"/>
                <w:b w:val="false"/>
                <w:i w:val="false"/>
                <w:color w:val="404040"/>
                <w:sz w:val="28"/>
              </w:rPr>
              <w:t>功能</w:t>
            </w:r>
          </w:p>
          <w:bookmarkEnd w:id="18"/>
        </w:tc>
        <w:tc>
          <w:tcPr>
            <w:tcW w:w="4601"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35445648" w:id="19"/>
          <w:p>
            <w:pPr>
              <w:spacing w:after="50" w:line="360" w:lineRule="auto" w:beforeLines="100"/>
              <w:ind w:left="0"/>
              <w:jc w:val="left"/>
            </w:pPr>
            <w:r>
              <w:rPr>
                <w:rFonts w:ascii="宋体" w:hAnsi="Times New Roman" w:eastAsia="宋体"/>
                <w:b w:val="false"/>
                <w:i w:val="false"/>
                <w:color w:val="404040"/>
                <w:sz w:val="28"/>
              </w:rPr>
              <w:t>实现方式</w:t>
            </w:r>
          </w:p>
          <w:bookmarkEnd w:id="19"/>
        </w:tc>
        <w:tc>
          <w:tcPr>
            <w:tcW w:w="4517"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87bb1e06" w:id="20"/>
          <w:p>
            <w:pPr>
              <w:spacing w:after="50" w:line="360" w:lineRule="auto" w:beforeLines="100"/>
              <w:ind w:left="0"/>
              <w:jc w:val="left"/>
            </w:pPr>
            <w:r>
              <w:rPr>
                <w:rFonts w:ascii="宋体" w:hAnsi="Times New Roman" w:eastAsia="宋体"/>
                <w:b w:val="false"/>
                <w:i w:val="false"/>
                <w:color w:val="404040"/>
                <w:sz w:val="28"/>
              </w:rPr>
              <w:t>应用价值</w:t>
            </w:r>
          </w:p>
          <w:bookmarkEnd w:id="20"/>
        </w:tc>
      </w:tr>
      <w:tr>
        <w:trPr>
          <w:trHeight w:val="495" w:hRule="atLeast"/>
        </w:trPr>
        <w:tc>
          <w:tcPr>
            <w:tcW w:w="4516"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5235f7c5" w:id="21"/>
          <w:p>
            <w:pPr>
              <w:spacing w:after="50" w:line="360" w:lineRule="auto" w:beforeLines="100"/>
              <w:ind w:left="0"/>
              <w:jc w:val="left"/>
            </w:pPr>
            <w:r>
              <w:rPr>
                <w:rFonts w:ascii="宋体" w:hAnsi="Times New Roman" w:eastAsia="宋体"/>
                <w:b w:val="false"/>
                <w:i w:val="false"/>
                <w:color w:val="404040"/>
                <w:sz w:val="28"/>
              </w:rPr>
              <w:t>自主路径规划</w:t>
            </w:r>
          </w:p>
          <w:bookmarkEnd w:id="21"/>
        </w:tc>
        <w:tc>
          <w:tcPr>
            <w:tcW w:w="4601"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04ad8bcb" w:id="22"/>
          <w:p>
            <w:pPr>
              <w:spacing w:after="50" w:line="360" w:lineRule="auto" w:beforeLines="100"/>
              <w:ind w:left="0"/>
              <w:jc w:val="left"/>
            </w:pPr>
            <w:r>
              <w:rPr>
                <w:rFonts w:ascii="宋体" w:hAnsi="Times New Roman" w:eastAsia="宋体"/>
                <w:b w:val="false"/>
                <w:i w:val="false"/>
                <w:color w:val="404040"/>
                <w:sz w:val="28"/>
              </w:rPr>
              <w:t>陀螺仪加里程计融合定位，红外和超声波传感器边缘检测和避障</w:t>
            </w:r>
          </w:p>
          <w:bookmarkEnd w:id="22"/>
        </w:tc>
        <w:tc>
          <w:tcPr>
            <w:tcW w:w="4517"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191e2dfb" w:id="23"/>
          <w:p>
            <w:pPr>
              <w:spacing w:after="50" w:line="360" w:lineRule="auto" w:beforeLines="100"/>
              <w:ind w:left="0"/>
              <w:jc w:val="left"/>
            </w:pPr>
            <w:r>
              <w:rPr>
                <w:rFonts w:ascii="宋体" w:hAnsi="Times New Roman" w:eastAsia="宋体"/>
                <w:b w:val="false"/>
                <w:i w:val="false"/>
                <w:color w:val="404040"/>
                <w:sz w:val="28"/>
              </w:rPr>
              <w:t>机器人在光伏组件表面自主平稳行走，无漏扫无重复</w:t>
            </w:r>
          </w:p>
          <w:bookmarkEnd w:id="23"/>
        </w:tc>
      </w:tr>
      <w:tr>
        <w:trPr>
          <w:trHeight w:val="495" w:hRule="atLeast"/>
        </w:trPr>
        <w:tc>
          <w:tcPr>
            <w:tcW w:w="4516"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fbd8c686" w:id="24"/>
          <w:p>
            <w:pPr>
              <w:spacing w:after="50" w:line="360" w:lineRule="auto" w:beforeLines="100"/>
              <w:ind w:left="0"/>
              <w:jc w:val="left"/>
            </w:pPr>
            <w:r>
              <w:rPr>
                <w:rFonts w:ascii="宋体" w:hAnsi="Times New Roman" w:eastAsia="宋体"/>
                <w:b w:val="false"/>
                <w:i w:val="false"/>
                <w:color w:val="404040"/>
                <w:sz w:val="28"/>
              </w:rPr>
              <w:t>清扫参数自适应</w:t>
            </w:r>
          </w:p>
          <w:bookmarkEnd w:id="24"/>
        </w:tc>
        <w:tc>
          <w:tcPr>
            <w:tcW w:w="4601"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ac000f0f" w:id="25"/>
          <w:p>
            <w:pPr>
              <w:spacing w:after="50" w:line="360" w:lineRule="auto" w:beforeLines="100"/>
              <w:ind w:left="0"/>
              <w:jc w:val="left"/>
            </w:pPr>
            <w:r>
              <w:rPr>
                <w:rFonts w:ascii="宋体" w:hAnsi="Times New Roman" w:eastAsia="宋体"/>
                <w:b w:val="false"/>
                <w:i w:val="false"/>
                <w:color w:val="404040"/>
                <w:sz w:val="28"/>
              </w:rPr>
              <w:t>根据污染程度和行走速度动态调整毛刷转速和下压力度</w:t>
            </w:r>
          </w:p>
          <w:bookmarkEnd w:id="25"/>
        </w:tc>
        <w:tc>
          <w:tcPr>
            <w:tcW w:w="4517"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5d773ed3" w:id="26"/>
          <w:p>
            <w:pPr>
              <w:spacing w:after="50" w:line="360" w:lineRule="auto" w:beforeLines="100"/>
              <w:ind w:left="0"/>
              <w:jc w:val="left"/>
            </w:pPr>
            <w:r>
              <w:rPr>
                <w:rFonts w:ascii="宋体" w:hAnsi="Times New Roman" w:eastAsia="宋体"/>
                <w:b w:val="false"/>
                <w:i w:val="false"/>
                <w:color w:val="404040"/>
                <w:sz w:val="28"/>
              </w:rPr>
              <w:t>清洁质量均一，沙尘重灾区自动加强刷洗</w:t>
            </w:r>
          </w:p>
          <w:bookmarkEnd w:id="26"/>
        </w:tc>
      </w:tr>
      <w:tr>
        <w:trPr>
          <w:trHeight w:val="495" w:hRule="atLeast"/>
        </w:trPr>
        <w:tc>
          <w:tcPr>
            <w:tcW w:w="4516"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cc635514" w:id="27"/>
          <w:p>
            <w:pPr>
              <w:spacing w:after="50" w:line="360" w:lineRule="auto" w:beforeLines="100"/>
              <w:ind w:left="0"/>
              <w:jc w:val="left"/>
            </w:pPr>
            <w:r>
              <w:rPr>
                <w:rFonts w:ascii="宋体" w:hAnsi="Times New Roman" w:eastAsia="宋体"/>
                <w:b w:val="false"/>
                <w:i w:val="false"/>
                <w:color w:val="404040"/>
                <w:sz w:val="28"/>
              </w:rPr>
              <w:t>远程任务调度</w:t>
            </w:r>
          </w:p>
          <w:bookmarkEnd w:id="27"/>
        </w:tc>
        <w:tc>
          <w:tcPr>
            <w:tcW w:w="4601"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3243d104" w:id="28"/>
          <w:p>
            <w:pPr>
              <w:spacing w:after="50" w:line="360" w:lineRule="auto" w:beforeLines="100"/>
              <w:ind w:left="0"/>
              <w:jc w:val="left"/>
            </w:pPr>
            <w:r>
              <w:rPr>
                <w:rFonts w:ascii="宋体" w:hAnsi="Times New Roman" w:eastAsia="宋体"/>
                <w:b w:val="false"/>
                <w:i w:val="false"/>
                <w:color w:val="404040"/>
                <w:sz w:val="28"/>
              </w:rPr>
              <w:t>运维平台下发任务模板，控制器下载后按预设路线自主执行</w:t>
            </w:r>
          </w:p>
          <w:bookmarkEnd w:id="28"/>
        </w:tc>
        <w:tc>
          <w:tcPr>
            <w:tcW w:w="4517"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e67914f5" w:id="29"/>
          <w:p>
            <w:pPr>
              <w:spacing w:after="50" w:line="360" w:lineRule="auto" w:beforeLines="100"/>
              <w:ind w:left="0"/>
              <w:jc w:val="left"/>
            </w:pPr>
            <w:r>
              <w:rPr>
                <w:rFonts w:ascii="宋体" w:hAnsi="Times New Roman" w:eastAsia="宋体"/>
                <w:b w:val="false"/>
                <w:i w:val="false"/>
                <w:color w:val="404040"/>
                <w:sz w:val="28"/>
              </w:rPr>
              <w:t>实现机器人编队集中调度，无需逐台现场操控</w:t>
            </w:r>
          </w:p>
          <w:bookmarkEnd w:id="29"/>
        </w:tc>
      </w:tr>
      <w:tr>
        <w:trPr>
          <w:trHeight w:val="495" w:hRule="atLeast"/>
        </w:trPr>
        <w:tc>
          <w:tcPr>
            <w:tcW w:w="4516"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f6ac377a" w:id="30"/>
          <w:p>
            <w:pPr>
              <w:spacing w:after="50" w:line="360" w:lineRule="auto" w:beforeLines="100"/>
              <w:ind w:left="0"/>
              <w:jc w:val="left"/>
            </w:pPr>
            <w:r>
              <w:rPr>
                <w:rFonts w:ascii="宋体" w:hAnsi="Times New Roman" w:eastAsia="宋体"/>
                <w:b w:val="false"/>
                <w:i w:val="false"/>
                <w:color w:val="404040"/>
                <w:sz w:val="28"/>
              </w:rPr>
              <w:t>断线重连与自恢复</w:t>
            </w:r>
          </w:p>
          <w:bookmarkEnd w:id="30"/>
        </w:tc>
        <w:tc>
          <w:tcPr>
            <w:tcW w:w="4601"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4ebb99b5" w:id="31"/>
          <w:p>
            <w:pPr>
              <w:spacing w:after="50" w:line="360" w:lineRule="auto" w:beforeLines="100"/>
              <w:ind w:left="0"/>
              <w:jc w:val="left"/>
            </w:pPr>
            <w:r>
              <w:rPr>
                <w:rFonts w:ascii="宋体" w:hAnsi="Times New Roman" w:eastAsia="宋体"/>
                <w:b w:val="false"/>
                <w:i w:val="false"/>
                <w:color w:val="404040"/>
                <w:sz w:val="28"/>
              </w:rPr>
              <w:t>通讯中断自动重建连接，程序异常由硬件看门狗自动复位</w:t>
            </w:r>
          </w:p>
          <w:bookmarkEnd w:id="31"/>
        </w:tc>
        <w:tc>
          <w:tcPr>
            <w:tcW w:w="4517"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9234aa61" w:id="32"/>
          <w:p>
            <w:pPr>
              <w:spacing w:after="50" w:line="360" w:lineRule="auto" w:beforeLines="100"/>
              <w:ind w:left="0"/>
              <w:jc w:val="left"/>
            </w:pPr>
            <w:r>
              <w:rPr>
                <w:rFonts w:ascii="宋体" w:hAnsi="Times New Roman" w:eastAsia="宋体"/>
                <w:b w:val="false"/>
                <w:i w:val="false"/>
                <w:color w:val="404040"/>
                <w:sz w:val="28"/>
              </w:rPr>
              <w:t>无公网场区不失控，异常复位后自动续扫</w:t>
            </w:r>
          </w:p>
          <w:bookmarkEnd w:id="32"/>
        </w:tc>
      </w:tr>
      <w:tr>
        <w:trPr>
          <w:trHeight w:val="495" w:hRule="atLeast"/>
        </w:trPr>
        <w:tc>
          <w:tcPr>
            <w:tcW w:w="4516"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34fb752e" w:id="33"/>
          <w:p>
            <w:pPr>
              <w:spacing w:after="50" w:line="360" w:lineRule="auto" w:beforeLines="100"/>
              <w:ind w:left="0"/>
              <w:jc w:val="left"/>
            </w:pPr>
            <w:r>
              <w:rPr>
                <w:rFonts w:ascii="宋体" w:hAnsi="Times New Roman" w:eastAsia="宋体"/>
                <w:b w:val="false"/>
                <w:i w:val="false"/>
                <w:color w:val="404040"/>
                <w:sz w:val="28"/>
              </w:rPr>
              <w:t>电源智能管理</w:t>
            </w:r>
          </w:p>
          <w:bookmarkEnd w:id="33"/>
        </w:tc>
        <w:tc>
          <w:tcPr>
            <w:tcW w:w="4601"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58f45969" w:id="34"/>
          <w:p>
            <w:pPr>
              <w:spacing w:after="50" w:line="360" w:lineRule="auto" w:beforeLines="100"/>
              <w:ind w:left="0"/>
              <w:jc w:val="left"/>
            </w:pPr>
            <w:r>
              <w:rPr>
                <w:rFonts w:ascii="宋体" w:hAnsi="Times New Roman" w:eastAsia="宋体"/>
                <w:b w:val="false"/>
                <w:i w:val="false"/>
                <w:color w:val="404040"/>
                <w:sz w:val="28"/>
              </w:rPr>
              <w:t>电量低于返航阈值自动返充，充满自停，断点续扫</w:t>
            </w:r>
          </w:p>
          <w:bookmarkEnd w:id="34"/>
        </w:tc>
        <w:tc>
          <w:tcPr>
            <w:tcW w:w="4517"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e58c61cd" w:id="35"/>
          <w:p>
            <w:pPr>
              <w:spacing w:after="50" w:line="360" w:lineRule="auto" w:beforeLines="100"/>
              <w:ind w:left="0"/>
              <w:jc w:val="left"/>
            </w:pPr>
            <w:r>
              <w:rPr>
                <w:rFonts w:ascii="宋体" w:hAnsi="Times New Roman" w:eastAsia="宋体"/>
                <w:b w:val="false"/>
                <w:i w:val="false"/>
                <w:color w:val="404040"/>
                <w:sz w:val="28"/>
              </w:rPr>
              <w:t>延长电池寿命，单次续航覆盖更大组件面积</w:t>
            </w:r>
          </w:p>
          <w:bookmarkEnd w:id="35"/>
        </w:tc>
      </w:tr>
      <w:tr>
        <w:trPr>
          <w:trHeight w:val="495" w:hRule="atLeast"/>
        </w:trPr>
        <w:tc>
          <w:tcPr>
            <w:tcW w:w="4516"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3b50d493" w:id="36"/>
          <w:p>
            <w:pPr>
              <w:spacing w:after="50" w:line="360" w:lineRule="auto" w:beforeLines="100"/>
              <w:ind w:left="0"/>
              <w:jc w:val="left"/>
            </w:pPr>
            <w:r>
              <w:rPr>
                <w:rFonts w:ascii="宋体" w:hAnsi="Times New Roman" w:eastAsia="宋体"/>
                <w:b w:val="false"/>
                <w:i w:val="false"/>
                <w:color w:val="404040"/>
                <w:sz w:val="28"/>
              </w:rPr>
              <w:t>远程调试升级</w:t>
            </w:r>
          </w:p>
          <w:bookmarkEnd w:id="36"/>
        </w:tc>
        <w:tc>
          <w:tcPr>
            <w:tcW w:w="4601"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cb395ff3" w:id="37"/>
          <w:p>
            <w:pPr>
              <w:spacing w:after="50" w:line="360" w:lineRule="auto" w:beforeLines="100"/>
              <w:ind w:left="0"/>
              <w:jc w:val="left"/>
            </w:pPr>
            <w:r>
              <w:rPr>
                <w:rFonts w:ascii="宋体" w:hAnsi="Times New Roman" w:eastAsia="宋体"/>
                <w:b w:val="false"/>
                <w:i w:val="false"/>
                <w:color w:val="404040"/>
                <w:sz w:val="28"/>
              </w:rPr>
              <w:t>支持远程参数读写、固件OTA升级和程序上传下载</w:t>
            </w:r>
          </w:p>
          <w:bookmarkEnd w:id="37"/>
        </w:tc>
        <w:tc>
          <w:tcPr>
            <w:tcW w:w="4517" w:type="dxa"/>
            <w:tcBorders>
              <w:top w:val="single" w:color="eeeeee" w:sz="8"/>
              <w:left w:val="single" w:color="eeeeee" w:sz="8"/>
              <w:bottom w:val="single" w:color="eeeeee" w:sz="8"/>
              <w:right w:val="single" w:color="eeeeee" w:sz="8"/>
            </w:tcBorders>
            <w:tcMar>
              <w:top w:w="15" w:type="dxa"/>
              <w:left w:w="15" w:type="dxa"/>
              <w:bottom w:w="15" w:type="dxa"/>
              <w:right w:w="15" w:type="dxa"/>
            </w:tcMar>
            <w:vAlign w:val="center"/>
          </w:tcPr>
          <w:bookmarkStart w:name="u3063b4c2" w:id="38"/>
          <w:p>
            <w:pPr>
              <w:spacing w:after="50" w:line="360" w:lineRule="auto" w:beforeLines="100"/>
              <w:ind w:left="0"/>
              <w:jc w:val="left"/>
            </w:pPr>
            <w:r>
              <w:rPr>
                <w:rFonts w:ascii="宋体" w:hAnsi="Times New Roman" w:eastAsia="宋体"/>
                <w:b w:val="false"/>
                <w:i w:val="false"/>
                <w:color w:val="404040"/>
                <w:sz w:val="28"/>
              </w:rPr>
              <w:t>策略调整和功能升级无需派人到场</w:t>
            </w:r>
          </w:p>
          <w:bookmarkEnd w:id="38"/>
        </w:tc>
      </w:tr>
    </w:tbl>
    <w:bookmarkEnd w:id="17"/>
    <w:bookmarkStart w:name="Uxvau" w:id="39"/>
    <w:p>
      <w:pPr>
        <w:pStyle w:val="Heading3"/>
        <w:spacing w:after="50" w:line="360" w:lineRule="auto" w:beforeLines="100"/>
        <w:ind w:left="0"/>
        <w:jc w:val="left"/>
      </w:pPr>
      <w:r>
        <w:rPr>
          <w:rFonts w:ascii="宋体" w:hAnsi="Times New Roman" w:eastAsia="宋体"/>
          <w:color w:val="404040"/>
        </w:rPr>
        <w:t>五、应用价值</w:t>
      </w:r>
    </w:p>
    <w:bookmarkEnd w:id="39"/>
    <w:bookmarkStart w:name="u153fae97" w:id="40"/>
    <w:p>
      <w:pPr>
        <w:numPr>
          <w:ilvl w:val="0"/>
          <w:numId w:val="2"/>
        </w:numPr>
        <w:spacing w:after="50" w:line="360" w:lineRule="auto" w:beforeLines="100"/>
        <w:ind w:left="360"/>
        <w:jc w:val="left"/>
      </w:pPr>
      <w:r>
        <w:rPr>
          <w:rFonts w:ascii="宋体" w:hAnsi="Times New Roman" w:eastAsia="宋体"/>
          <w:b w:val="false"/>
          <w:i w:val="false"/>
          <w:color w:val="000000"/>
          <w:sz w:val="22"/>
        </w:rPr>
        <w:t>清洁效率提升3倍以上</w:t>
      </w:r>
      <w:r>
        <w:rPr>
          <w:rFonts w:ascii="宋体" w:hAnsi="Times New Roman" w:eastAsia="宋体"/>
          <w:b w:val="false"/>
          <w:i w:val="false"/>
          <w:color w:val="404040"/>
          <w:sz w:val="28"/>
        </w:rPr>
        <w:t>：机器人自主作业替代人工登高清洁，单机每日清洁面积数倍于人工，且不受高温和恶劣天气限制</w:t>
      </w:r>
    </w:p>
    <w:bookmarkEnd w:id="40"/>
    <w:bookmarkStart w:name="u1b8c0c0f" w:id="41"/>
    <w:p>
      <w:pPr>
        <w:numPr>
          <w:ilvl w:val="0"/>
          <w:numId w:val="2"/>
        </w:numPr>
        <w:spacing w:after="50" w:line="360" w:lineRule="auto" w:beforeLines="100"/>
        <w:ind w:left="360"/>
        <w:jc w:val="left"/>
      </w:pPr>
      <w:r>
        <w:rPr>
          <w:rFonts w:ascii="宋体" w:hAnsi="Times New Roman" w:eastAsia="宋体"/>
          <w:b w:val="false"/>
          <w:i w:val="false"/>
          <w:color w:val="000000"/>
          <w:sz w:val="22"/>
        </w:rPr>
        <w:t>消除高空作业风险</w:t>
      </w:r>
      <w:r>
        <w:rPr>
          <w:rFonts w:ascii="宋体" w:hAnsi="Times New Roman" w:eastAsia="宋体"/>
          <w:b w:val="false"/>
          <w:i w:val="false"/>
          <w:color w:val="404040"/>
          <w:sz w:val="28"/>
        </w:rPr>
        <w:t>：人员无需攀爬倾斜屋面和大角度支架，杜绝坠落事故隐患</w:t>
      </w:r>
    </w:p>
    <w:bookmarkEnd w:id="41"/>
    <w:bookmarkStart w:name="udc6ce140" w:id="42"/>
    <w:p>
      <w:pPr>
        <w:numPr>
          <w:ilvl w:val="0"/>
          <w:numId w:val="2"/>
        </w:numPr>
        <w:spacing w:after="50" w:line="360" w:lineRule="auto" w:beforeLines="100"/>
        <w:ind w:left="360"/>
        <w:jc w:val="left"/>
      </w:pPr>
      <w:r>
        <w:rPr>
          <w:rFonts w:ascii="宋体" w:hAnsi="Times New Roman" w:eastAsia="宋体"/>
          <w:b w:val="false"/>
          <w:i w:val="false"/>
          <w:color w:val="000000"/>
          <w:sz w:val="22"/>
        </w:rPr>
        <w:t>清洁质量标准化</w:t>
      </w:r>
      <w:r>
        <w:rPr>
          <w:rFonts w:ascii="宋体" w:hAnsi="Times New Roman" w:eastAsia="宋体"/>
          <w:b w:val="false"/>
          <w:i w:val="false"/>
          <w:color w:val="404040"/>
          <w:sz w:val="28"/>
        </w:rPr>
        <w:t>：机器人按预设压力、速度和路径均匀作业，消除人工清扫力度和覆盖面的差异</w:t>
      </w:r>
    </w:p>
    <w:bookmarkEnd w:id="42"/>
    <w:bookmarkStart w:name="uc957c733" w:id="43"/>
    <w:p>
      <w:pPr>
        <w:numPr>
          <w:ilvl w:val="0"/>
          <w:numId w:val="2"/>
        </w:numPr>
        <w:spacing w:after="50" w:line="360" w:lineRule="auto" w:beforeLines="100"/>
        <w:ind w:left="360"/>
        <w:jc w:val="left"/>
      </w:pPr>
      <w:r>
        <w:rPr>
          <w:rFonts w:ascii="宋体" w:hAnsi="Times New Roman" w:eastAsia="宋体"/>
          <w:b w:val="false"/>
          <w:i w:val="false"/>
          <w:color w:val="000000"/>
          <w:sz w:val="22"/>
        </w:rPr>
        <w:t>远程运维降成本</w:t>
      </w:r>
      <w:r>
        <w:rPr>
          <w:rFonts w:ascii="宋体" w:hAnsi="Times New Roman" w:eastAsia="宋体"/>
          <w:b w:val="false"/>
          <w:i w:val="false"/>
          <w:color w:val="404040"/>
          <w:sz w:val="28"/>
        </w:rPr>
        <w:t>：远程调试和参数调整免去现场逐台调试的差旅和时间成本，换季调整策略只需平台一键下发</w:t>
      </w:r>
    </w:p>
    <w:bookmarkEnd w:id="43"/>
    <w:bookmarkStart w:name="u33cfb9dd" w:id="44"/>
    <w:bookmarkEnd w:id="44"/>
    <w:bookmarkStart w:name="udc4ab50d" w:id="45"/>
    <w:bookmarkEnd w:id="45"/>
    <w:bookmarkStart w:name="u5a39e01d" w:id="46"/>
    <w:bookmarkEnd w:id="4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