
<file path=[Content_Types].xml><?xml version="1.0" encoding="utf-8"?>
<Types xmlns="http://schemas.openxmlformats.org/package/2006/content-types">
  <Default ContentType="application/vnd.openxmlformats-package.relationships+xml" Extension="rels"/>
  <Default ContentType="application/vnd.openxmlformats-officedocument.wordprocessingml.document.mai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body>
    <!-- Created by docx4j 6.1.2 (Apache licensed) using REFERENCE JAXB in Oracle Java 1.8.0_131 on Linux -->
    <w:p>
      <w:pPr>
        <w:pStyle w:val="Heading1"/>
        <w:spacing w:after="50" w:line="360" w:lineRule="auto" w:beforeLines="100"/>
        <w:ind w:left="0"/>
        <w:jc w:val="left"/>
      </w:pPr>
      <w:r>
        <w:rPr>
          <w:rFonts w:ascii="宋体" w:hAnsi="Times New Roman" w:eastAsia="宋体"/>
        </w:rPr>
        <w:t>节能减排智能监测系统</w:t>
      </w:r>
    </w:p>
    <w:p>
      <w:pPr>
        <w:pStyle w:val="Heading1"/>
        <w:spacing w:after="50" w:line="360" w:lineRule="auto" w:beforeLines="100"/>
        <w:ind w:left="0"/>
        <w:jc w:val="left"/>
      </w:pPr>
      <w:bookmarkStart w:name="k6Rq5" w:id="0"/>
      <w:r>
        <w:rPr>
          <w:rFonts w:ascii="宋体" w:hAnsi="Times New Roman" w:eastAsia="宋体"/>
        </w:rPr>
        <w:t>节能减排智能监测系统 · FAQ 知识问答</w:t>
      </w:r>
    </w:p>
    <w:bookmarkEnd w:id="0"/>
    <w:bookmarkStart w:name="u47a2e811" w:id="1"/>
    <w:bookmarkEnd w:id="1"/>
    <w:bookmarkStart w:name="bpBb4" w:id="2"/>
    <w:p>
      <w:pPr>
        <w:pStyle w:val="Heading2"/>
        <w:spacing w:after="50" w:line="360" w:lineRule="auto" w:beforeLines="100"/>
        <w:ind w:left="0"/>
        <w:jc w:val="left"/>
      </w:pPr>
      <w:r>
        <w:rPr>
          <w:rFonts w:ascii="宋体" w:hAnsi="Times New Roman" w:eastAsia="宋体"/>
        </w:rPr>
        <w:t>Q1：节能减排智能监测系统是一套什么样的产品？</w:t>
      </w:r>
    </w:p>
    <w:bookmarkEnd w:id="2"/>
    <w:bookmarkStart w:name="u35093cb0" w:id="3"/>
    <w:p>
      <w:pPr>
        <w:spacing w:after="50" w:line="360" w:lineRule="auto" w:beforeLines="100"/>
        <w:ind w:left="0"/>
        <w:jc w:val="left"/>
      </w:pPr>
      <w:r>
        <w:rPr>
          <w:rFonts w:ascii="宋体" w:hAnsi="Times New Roman" w:eastAsia="宋体"/>
          <w:b w:val="false"/>
          <w:i w:val="false"/>
          <w:color w:val="000000"/>
          <w:sz w:val="22"/>
        </w:rPr>
        <w:t>这是一套覆盖供暖、水务、泵站和科研仪器四大场景的物联网监测与碳核算平台。它的核心思路很简单——在换热站、水泵控制柜、配电箱和实验室仪器旁加装采集终端，把原来靠人工手抄的运行数据搬上云，再通过 AI 算法把能耗分析和碳排核算自动化。</w:t>
      </w:r>
    </w:p>
    <w:bookmarkEnd w:id="3"/>
    <w:bookmarkStart w:name="u6fbe9605" w:id="4"/>
    <w:p>
      <w:pPr>
        <w:spacing w:after="50" w:line="360" w:lineRule="auto" w:beforeLines="100"/>
        <w:ind w:left="0"/>
        <w:jc w:val="left"/>
      </w:pPr>
      <w:r>
        <w:rPr>
          <w:rFonts w:ascii="宋体" w:hAnsi="Times New Roman" w:eastAsia="宋体"/>
          <w:b w:val="false"/>
          <w:i w:val="false"/>
          <w:color w:val="000000"/>
          <w:sz w:val="22"/>
        </w:rPr>
        <w:t>理解这套系统最直接的方式是把它分成三层。底层是感知——PLC 数据采集网关、红外抄表装置、非接触式电流检测仪，负责从现场设备把数据取出来。中间层是平台——所有数据汇聚到统一的数据中台，做清洗、存储、分析和可视化。顶层是应用——供热能耗分析、水泵单位电耗计算、科研仪器机时统计、碳排放实时追踪，每一个场景对应一套算法模型。</w:t>
      </w:r>
    </w:p>
    <w:bookmarkEnd w:id="4"/>
    <w:bookmarkStart w:name="u9ac8a2af" w:id="5"/>
    <w:p>
      <w:pPr>
        <w:spacing w:after="50" w:line="360" w:lineRule="auto" w:beforeLines="100"/>
        <w:ind w:left="0"/>
        <w:jc w:val="left"/>
      </w:pPr>
      <w:r>
        <w:rPr>
          <w:rFonts w:ascii="宋体" w:hAnsi="Times New Roman" w:eastAsia="宋体"/>
          <w:b w:val="false"/>
          <w:i w:val="false"/>
          <w:color w:val="000000"/>
          <w:sz w:val="22"/>
        </w:rPr>
        <w:t>传统方式下，一个供热季的能耗分析要等结束后花两周手动整理数据，等到分析结果出来，下一个供热季已经开始了。这套系统把分析周期从"事后复盘"变成"实时监控"，问题在萌芽阶段就被发现。</w:t>
      </w:r>
    </w:p>
    <w:bookmarkEnd w:id="5"/>
    <w:bookmarkStart w:name="BPJ6h" w:id="6"/>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3363"/>
        <w:gridCol w:w="3424"/>
        <w:gridCol w:w="3397"/>
        <w:gridCol w:w="3450"/>
      </w:tblGrid>
      <w:tr>
        <w:trPr>
          <w:trHeight w:val="495" w:hRule="atLeast"/>
        </w:trPr>
        <w:tc>
          <w:tcPr>
            <w:tcW w:w="336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1a51d43" w:id="7"/>
          <w:p>
            <w:pPr>
              <w:spacing w:after="50" w:line="360" w:lineRule="auto" w:beforeLines="100"/>
              <w:ind w:left="0"/>
              <w:jc w:val="left"/>
            </w:pPr>
            <w:r>
              <w:rPr>
                <w:rFonts w:ascii="宋体" w:hAnsi="Times New Roman" w:eastAsia="宋体"/>
                <w:b w:val="false"/>
                <w:i w:val="false"/>
                <w:color w:val="000000"/>
                <w:sz w:val="22"/>
              </w:rPr>
              <w:t>监测场景</w:t>
            </w:r>
          </w:p>
          <w:bookmarkEnd w:id="7"/>
        </w:tc>
        <w:tc>
          <w:tcPr>
            <w:tcW w:w="342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0c290c8" w:id="8"/>
          <w:p>
            <w:pPr>
              <w:spacing w:after="50" w:line="360" w:lineRule="auto" w:beforeLines="100"/>
              <w:ind w:left="0"/>
              <w:jc w:val="left"/>
            </w:pPr>
            <w:r>
              <w:rPr>
                <w:rFonts w:ascii="宋体" w:hAnsi="Times New Roman" w:eastAsia="宋体"/>
                <w:b w:val="false"/>
                <w:i w:val="false"/>
                <w:color w:val="000000"/>
                <w:sz w:val="22"/>
              </w:rPr>
              <w:t>核心采集设备</w:t>
            </w:r>
          </w:p>
          <w:bookmarkEnd w:id="8"/>
        </w:tc>
        <w:tc>
          <w:tcPr>
            <w:tcW w:w="339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29a9e1c" w:id="9"/>
          <w:p>
            <w:pPr>
              <w:spacing w:after="50" w:line="360" w:lineRule="auto" w:beforeLines="100"/>
              <w:ind w:left="0"/>
              <w:jc w:val="left"/>
            </w:pPr>
            <w:r>
              <w:rPr>
                <w:rFonts w:ascii="宋体" w:hAnsi="Times New Roman" w:eastAsia="宋体"/>
                <w:b w:val="false"/>
                <w:i w:val="false"/>
                <w:color w:val="000000"/>
                <w:sz w:val="22"/>
              </w:rPr>
              <w:t>关键指标</w:t>
            </w:r>
          </w:p>
          <w:bookmarkEnd w:id="9"/>
        </w:tc>
        <w:tc>
          <w:tcPr>
            <w:tcW w:w="345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ec07b16" w:id="10"/>
          <w:p>
            <w:pPr>
              <w:spacing w:after="50" w:line="360" w:lineRule="auto" w:beforeLines="100"/>
              <w:ind w:left="0"/>
              <w:jc w:val="left"/>
            </w:pPr>
            <w:r>
              <w:rPr>
                <w:rFonts w:ascii="宋体" w:hAnsi="Times New Roman" w:eastAsia="宋体"/>
                <w:b w:val="false"/>
                <w:i w:val="false"/>
                <w:color w:val="000000"/>
                <w:sz w:val="22"/>
              </w:rPr>
              <w:t>覆盖范围</w:t>
            </w:r>
          </w:p>
          <w:bookmarkEnd w:id="10"/>
        </w:tc>
      </w:tr>
      <w:tr>
        <w:trPr>
          <w:trHeight w:val="495" w:hRule="atLeast"/>
        </w:trPr>
        <w:tc>
          <w:tcPr>
            <w:tcW w:w="336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b2a744d" w:id="11"/>
          <w:p>
            <w:pPr>
              <w:spacing w:after="50" w:line="360" w:lineRule="auto" w:beforeLines="100"/>
              <w:ind w:left="0"/>
              <w:jc w:val="left"/>
            </w:pPr>
            <w:r>
              <w:rPr>
                <w:rFonts w:ascii="宋体" w:hAnsi="Times New Roman" w:eastAsia="宋体"/>
                <w:b w:val="false"/>
                <w:i w:val="false"/>
                <w:color w:val="000000"/>
                <w:sz w:val="22"/>
              </w:rPr>
              <w:t>供暖</w:t>
            </w:r>
          </w:p>
          <w:bookmarkEnd w:id="11"/>
        </w:tc>
        <w:tc>
          <w:tcPr>
            <w:tcW w:w="342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cb578ca" w:id="12"/>
          <w:p>
            <w:pPr>
              <w:spacing w:after="50" w:line="360" w:lineRule="auto" w:beforeLines="100"/>
              <w:ind w:left="0"/>
              <w:jc w:val="left"/>
            </w:pPr>
            <w:r>
              <w:rPr>
                <w:rFonts w:ascii="宋体" w:hAnsi="Times New Roman" w:eastAsia="宋体"/>
                <w:b w:val="false"/>
                <w:i w:val="false"/>
                <w:color w:val="000000"/>
                <w:sz w:val="22"/>
              </w:rPr>
              <w:t>PLC 数据采集网关</w:t>
            </w:r>
          </w:p>
          <w:bookmarkEnd w:id="12"/>
        </w:tc>
        <w:tc>
          <w:tcPr>
            <w:tcW w:w="339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72b1f8a" w:id="13"/>
          <w:p>
            <w:pPr>
              <w:spacing w:after="50" w:line="360" w:lineRule="auto" w:beforeLines="100"/>
              <w:ind w:left="0"/>
              <w:jc w:val="left"/>
            </w:pPr>
            <w:r>
              <w:rPr>
                <w:rFonts w:ascii="宋体" w:hAnsi="Times New Roman" w:eastAsia="宋体"/>
                <w:b w:val="false"/>
                <w:i w:val="false"/>
                <w:color w:val="000000"/>
                <w:sz w:val="22"/>
              </w:rPr>
              <w:t>供回水温度/流量/压力/热量</w:t>
            </w:r>
          </w:p>
          <w:bookmarkEnd w:id="13"/>
        </w:tc>
        <w:tc>
          <w:tcPr>
            <w:tcW w:w="345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1304c98" w:id="14"/>
          <w:p>
            <w:pPr>
              <w:spacing w:after="50" w:line="360" w:lineRule="auto" w:beforeLines="100"/>
              <w:ind w:left="0"/>
              <w:jc w:val="left"/>
            </w:pPr>
            <w:r>
              <w:rPr>
                <w:rFonts w:ascii="宋体" w:hAnsi="Times New Roman" w:eastAsia="宋体"/>
                <w:b w:val="false"/>
                <w:i w:val="false"/>
                <w:color w:val="000000"/>
                <w:sz w:val="22"/>
              </w:rPr>
              <w:t>热源厂→换热站→楼栋热力入口</w:t>
            </w:r>
          </w:p>
          <w:bookmarkEnd w:id="14"/>
        </w:tc>
      </w:tr>
      <w:tr>
        <w:trPr>
          <w:trHeight w:val="495" w:hRule="atLeast"/>
        </w:trPr>
        <w:tc>
          <w:tcPr>
            <w:tcW w:w="336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d4b8c5c" w:id="15"/>
          <w:p>
            <w:pPr>
              <w:spacing w:after="50" w:line="360" w:lineRule="auto" w:beforeLines="100"/>
              <w:ind w:left="0"/>
              <w:jc w:val="left"/>
            </w:pPr>
            <w:r>
              <w:rPr>
                <w:rFonts w:ascii="宋体" w:hAnsi="Times New Roman" w:eastAsia="宋体"/>
                <w:b w:val="false"/>
                <w:i w:val="false"/>
                <w:color w:val="000000"/>
                <w:sz w:val="22"/>
              </w:rPr>
              <w:t>水务/泵站</w:t>
            </w:r>
          </w:p>
          <w:bookmarkEnd w:id="15"/>
        </w:tc>
        <w:tc>
          <w:tcPr>
            <w:tcW w:w="342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fa569a1" w:id="16"/>
          <w:p>
            <w:pPr>
              <w:spacing w:after="50" w:line="360" w:lineRule="auto" w:beforeLines="100"/>
              <w:ind w:left="0"/>
              <w:jc w:val="left"/>
            </w:pPr>
            <w:r>
              <w:rPr>
                <w:rFonts w:ascii="宋体" w:hAnsi="Times New Roman" w:eastAsia="宋体"/>
                <w:b w:val="false"/>
                <w:i w:val="false"/>
                <w:color w:val="000000"/>
                <w:sz w:val="22"/>
              </w:rPr>
              <w:t>PLC 网关+电表+流量计</w:t>
            </w:r>
          </w:p>
          <w:bookmarkEnd w:id="16"/>
        </w:tc>
        <w:tc>
          <w:tcPr>
            <w:tcW w:w="339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b536e14" w:id="17"/>
          <w:p>
            <w:pPr>
              <w:spacing w:after="50" w:line="360" w:lineRule="auto" w:beforeLines="100"/>
              <w:ind w:left="0"/>
              <w:jc w:val="left"/>
            </w:pPr>
            <w:r>
              <w:rPr>
                <w:rFonts w:ascii="宋体" w:hAnsi="Times New Roman" w:eastAsia="宋体"/>
                <w:b w:val="false"/>
                <w:i w:val="false"/>
                <w:color w:val="000000"/>
                <w:sz w:val="22"/>
              </w:rPr>
              <w:t>电流/功率/流量/扬程/吨水电耗</w:t>
            </w:r>
          </w:p>
          <w:bookmarkEnd w:id="17"/>
        </w:tc>
        <w:tc>
          <w:tcPr>
            <w:tcW w:w="345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40c4355" w:id="18"/>
          <w:p>
            <w:pPr>
              <w:spacing w:after="50" w:line="360" w:lineRule="auto" w:beforeLines="100"/>
              <w:ind w:left="0"/>
              <w:jc w:val="left"/>
            </w:pPr>
            <w:r>
              <w:rPr>
                <w:rFonts w:ascii="宋体" w:hAnsi="Times New Roman" w:eastAsia="宋体"/>
                <w:b w:val="false"/>
                <w:i w:val="false"/>
                <w:color w:val="000000"/>
                <w:sz w:val="22"/>
              </w:rPr>
              <w:t>取水泵站→加压泵站→污水处理</w:t>
            </w:r>
          </w:p>
          <w:bookmarkEnd w:id="18"/>
        </w:tc>
      </w:tr>
      <w:tr>
        <w:trPr>
          <w:trHeight w:val="495" w:hRule="atLeast"/>
        </w:trPr>
        <w:tc>
          <w:tcPr>
            <w:tcW w:w="336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ce6f00b" w:id="19"/>
          <w:p>
            <w:pPr>
              <w:spacing w:after="50" w:line="360" w:lineRule="auto" w:beforeLines="100"/>
              <w:ind w:left="0"/>
              <w:jc w:val="left"/>
            </w:pPr>
            <w:r>
              <w:rPr>
                <w:rFonts w:ascii="宋体" w:hAnsi="Times New Roman" w:eastAsia="宋体"/>
                <w:b w:val="false"/>
                <w:i w:val="false"/>
                <w:color w:val="000000"/>
                <w:sz w:val="22"/>
              </w:rPr>
              <w:t>科研仪器</w:t>
            </w:r>
          </w:p>
          <w:bookmarkEnd w:id="19"/>
        </w:tc>
        <w:tc>
          <w:tcPr>
            <w:tcW w:w="342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e08123b" w:id="20"/>
          <w:p>
            <w:pPr>
              <w:spacing w:after="50" w:line="360" w:lineRule="auto" w:beforeLines="100"/>
              <w:ind w:left="0"/>
              <w:jc w:val="left"/>
            </w:pPr>
            <w:r>
              <w:rPr>
                <w:rFonts w:ascii="宋体" w:hAnsi="Times New Roman" w:eastAsia="宋体"/>
                <w:b w:val="false"/>
                <w:i w:val="false"/>
                <w:color w:val="000000"/>
                <w:sz w:val="22"/>
              </w:rPr>
              <w:t>非接触式电流检测仪</w:t>
            </w:r>
          </w:p>
          <w:bookmarkEnd w:id="20"/>
        </w:tc>
        <w:tc>
          <w:tcPr>
            <w:tcW w:w="339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7fcaa03" w:id="21"/>
          <w:p>
            <w:pPr>
              <w:spacing w:after="50" w:line="360" w:lineRule="auto" w:beforeLines="100"/>
              <w:ind w:left="0"/>
              <w:jc w:val="left"/>
            </w:pPr>
            <w:r>
              <w:rPr>
                <w:rFonts w:ascii="宋体" w:hAnsi="Times New Roman" w:eastAsia="宋体"/>
                <w:b w:val="false"/>
                <w:i w:val="false"/>
                <w:color w:val="000000"/>
                <w:sz w:val="22"/>
              </w:rPr>
              <w:t>工作电流/运行时长/使用频次</w:t>
            </w:r>
          </w:p>
          <w:bookmarkEnd w:id="21"/>
        </w:tc>
        <w:tc>
          <w:tcPr>
            <w:tcW w:w="345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6618423" w:id="22"/>
          <w:p>
            <w:pPr>
              <w:spacing w:after="50" w:line="360" w:lineRule="auto" w:beforeLines="100"/>
              <w:ind w:left="0"/>
              <w:jc w:val="left"/>
            </w:pPr>
            <w:r>
              <w:rPr>
                <w:rFonts w:ascii="宋体" w:hAnsi="Times New Roman" w:eastAsia="宋体"/>
                <w:b w:val="false"/>
                <w:i w:val="false"/>
                <w:color w:val="000000"/>
                <w:sz w:val="22"/>
              </w:rPr>
              <w:t>高校实验室/大型仪器共享平台</w:t>
            </w:r>
          </w:p>
          <w:bookmarkEnd w:id="22"/>
        </w:tc>
      </w:tr>
      <w:tr>
        <w:trPr>
          <w:trHeight w:val="495" w:hRule="atLeast"/>
        </w:trPr>
        <w:tc>
          <w:tcPr>
            <w:tcW w:w="336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b1bd23f" w:id="23"/>
          <w:p>
            <w:pPr>
              <w:spacing w:after="50" w:line="360" w:lineRule="auto" w:beforeLines="100"/>
              <w:ind w:left="0"/>
              <w:jc w:val="left"/>
            </w:pPr>
            <w:r>
              <w:rPr>
                <w:rFonts w:ascii="宋体" w:hAnsi="Times New Roman" w:eastAsia="宋体"/>
                <w:b w:val="false"/>
                <w:i w:val="false"/>
                <w:color w:val="000000"/>
                <w:sz w:val="22"/>
              </w:rPr>
              <w:t>碳核算</w:t>
            </w:r>
          </w:p>
          <w:bookmarkEnd w:id="23"/>
        </w:tc>
        <w:tc>
          <w:tcPr>
            <w:tcW w:w="342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6895edc" w:id="24"/>
          <w:p>
            <w:pPr>
              <w:spacing w:after="50" w:line="360" w:lineRule="auto" w:beforeLines="100"/>
              <w:ind w:left="0"/>
              <w:jc w:val="left"/>
            </w:pPr>
            <w:r>
              <w:rPr>
                <w:rFonts w:ascii="宋体" w:hAnsi="Times New Roman" w:eastAsia="宋体"/>
                <w:b w:val="false"/>
                <w:i w:val="false"/>
                <w:color w:val="000000"/>
                <w:sz w:val="22"/>
              </w:rPr>
              <w:t>全系统数据汇聚</w:t>
            </w:r>
          </w:p>
          <w:bookmarkEnd w:id="24"/>
        </w:tc>
        <w:tc>
          <w:tcPr>
            <w:tcW w:w="339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319623d" w:id="25"/>
          <w:p>
            <w:pPr>
              <w:spacing w:after="50" w:line="360" w:lineRule="auto" w:beforeLines="100"/>
              <w:ind w:left="0"/>
              <w:jc w:val="left"/>
            </w:pPr>
            <w:r>
              <w:rPr>
                <w:rFonts w:ascii="宋体" w:hAnsi="Times New Roman" w:eastAsia="宋体"/>
                <w:b w:val="false"/>
                <w:i w:val="false"/>
                <w:color w:val="000000"/>
                <w:sz w:val="22"/>
              </w:rPr>
              <w:t>逐度电碳排追溯/分场景分时段</w:t>
            </w:r>
          </w:p>
          <w:bookmarkEnd w:id="25"/>
        </w:tc>
        <w:tc>
          <w:tcPr>
            <w:tcW w:w="345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ccb5feb" w:id="26"/>
          <w:p>
            <w:pPr>
              <w:spacing w:after="50" w:line="360" w:lineRule="auto" w:beforeLines="100"/>
              <w:ind w:left="0"/>
              <w:jc w:val="left"/>
            </w:pPr>
            <w:r>
              <w:rPr>
                <w:rFonts w:ascii="宋体" w:hAnsi="Times New Roman" w:eastAsia="宋体"/>
                <w:b w:val="false"/>
                <w:i w:val="false"/>
                <w:color w:val="000000"/>
                <w:sz w:val="22"/>
              </w:rPr>
              <w:t>按 ISO 14064 自动生成</w:t>
            </w:r>
          </w:p>
          <w:bookmarkEnd w:id="26"/>
        </w:tc>
      </w:tr>
    </w:tbl>
    <w:bookmarkEnd w:id="6"/>
    <w:bookmarkStart w:name="CFZdz" w:id="27"/>
    <w:p>
      <w:pPr>
        <w:spacing w:line="360" w:lineRule="auto" w:beforeLines="100" w:after="50"/>
        <w:ind w:left="0"/>
      </w:pPr>
      <w:r>
        <w:rPr>
          <w:rFonts w:eastAsia="宋体" w:ascii="宋体"/>
        </w:rPr>
        <w:pict>
          <v:rect style="width:0;height:1.5pt" id="_x0000_i1025" o:hr="t" o:hrstd="t" o:hralign="center" stroked="f" fillcolor="#a0a0a0"/>
        </w:pict>
      </w:r>
    </w:p>
    <w:bookmarkEnd w:id="27"/>
    <w:bookmarkStart w:name="FT0j1" w:id="28"/>
    <w:p>
      <w:pPr>
        <w:pStyle w:val="Heading2"/>
        <w:spacing w:after="50" w:line="360" w:lineRule="auto" w:beforeLines="100"/>
        <w:ind w:left="0"/>
        <w:jc w:val="left"/>
      </w:pPr>
      <w:r>
        <w:rPr>
          <w:rFonts w:ascii="宋体" w:hAnsi="Times New Roman" w:eastAsia="宋体"/>
        </w:rPr>
        <w:t>Q2：供暖场景是怎么实现能耗监测和节能优化的？</w:t>
      </w:r>
    </w:p>
    <w:bookmarkEnd w:id="28"/>
    <w:bookmarkStart w:name="u4a5fe25f" w:id="29"/>
    <w:p>
      <w:pPr>
        <w:spacing w:after="50" w:line="360" w:lineRule="auto" w:beforeLines="100"/>
        <w:ind w:left="0"/>
        <w:jc w:val="left"/>
      </w:pPr>
      <w:r>
        <w:rPr>
          <w:rFonts w:ascii="宋体" w:hAnsi="Times New Roman" w:eastAsia="宋体"/>
          <w:b w:val="false"/>
          <w:i w:val="false"/>
          <w:color w:val="000000"/>
          <w:sz w:val="22"/>
        </w:rPr>
        <w:t>供暖场景的监测链条从热源厂一直延伸到小区楼栋热力入口。换热站是数据采集的核心节点，一台 PLC 数据采集网关通过 RS-485 接口同时对接供回水温度传感器、电磁流量计、压力变送器和热量表，每分钟采集一次数据并通过 4G 上传至云平台。</w:t>
      </w:r>
    </w:p>
    <w:bookmarkEnd w:id="29"/>
    <w:bookmarkStart w:name="uf16fa9aa" w:id="30"/>
    <w:p>
      <w:pPr>
        <w:spacing w:after="50" w:line="360" w:lineRule="auto" w:beforeLines="100"/>
        <w:ind w:left="0"/>
        <w:jc w:val="left"/>
      </w:pPr>
      <w:r>
        <w:rPr>
          <w:rFonts w:ascii="宋体" w:hAnsi="Times New Roman" w:eastAsia="宋体"/>
          <w:b w:val="false"/>
          <w:i w:val="false"/>
          <w:color w:val="000000"/>
          <w:sz w:val="22"/>
        </w:rPr>
        <w:t>平台侧的核心分析指标是"单位面积热耗"——把每个换热站的供热量除以它所服务的小区面积，得到的数值直接反映供热效率。如果同一个城市、同类型建筑的两个换热站，一个热耗指标是 0.35 GJ/m²，另一个是 0.48 GJ/m²，前者比后者节能 27%——差距一目了然，问题出在哪里也可以进一步下钻到供水温度曲线、循环泵运行频率和回水温度偏差。</w:t>
      </w:r>
    </w:p>
    <w:bookmarkEnd w:id="30"/>
    <w:bookmarkStart w:name="u96c61183" w:id="31"/>
    <w:p>
      <w:pPr>
        <w:spacing w:after="50" w:line="360" w:lineRule="auto" w:beforeLines="100"/>
        <w:ind w:left="0"/>
        <w:jc w:val="left"/>
      </w:pPr>
      <w:r>
        <w:rPr>
          <w:rFonts w:ascii="宋体" w:hAnsi="Times New Roman" w:eastAsia="宋体"/>
          <w:b w:val="false"/>
          <w:i w:val="false"/>
          <w:color w:val="000000"/>
          <w:sz w:val="22"/>
        </w:rPr>
        <w:t>另一个关键能力是"天气自适应调控"。传统供热靠老师傅看天气预报手动调节阀门开度，换了人策略就变了。系统接入气象数据后，根据未来 24 小时的室外温度预测自动计算最优供水温度和循环泵频率，换热站的控制策略从"人调"升级为"智调"。部署实际案例显示，全网热力平衡率从 65% 提升至 90% 以上，综合能耗降低 10% 到 18%。</w:t>
      </w:r>
    </w:p>
    <w:bookmarkEnd w:id="31"/>
    <w:bookmarkStart w:name="CG1Ko" w:id="32"/>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3384"/>
        <w:gridCol w:w="3450"/>
        <w:gridCol w:w="3415"/>
        <w:gridCol w:w="3385"/>
      </w:tblGrid>
      <w:tr>
        <w:trPr>
          <w:trHeight w:val="495" w:hRule="atLeast"/>
        </w:trPr>
        <w:tc>
          <w:tcPr>
            <w:tcW w:w="338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d4feb6a" w:id="33"/>
          <w:p>
            <w:pPr>
              <w:spacing w:after="50" w:line="360" w:lineRule="auto" w:beforeLines="100"/>
              <w:ind w:left="0"/>
              <w:jc w:val="left"/>
            </w:pPr>
            <w:r>
              <w:rPr>
                <w:rFonts w:ascii="宋体" w:hAnsi="Times New Roman" w:eastAsia="宋体"/>
                <w:b w:val="false"/>
                <w:i w:val="false"/>
                <w:color w:val="000000"/>
                <w:sz w:val="22"/>
              </w:rPr>
              <w:t>监测环节</w:t>
            </w:r>
          </w:p>
          <w:bookmarkEnd w:id="33"/>
        </w:tc>
        <w:tc>
          <w:tcPr>
            <w:tcW w:w="345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c1b04d1" w:id="34"/>
          <w:p>
            <w:pPr>
              <w:spacing w:after="50" w:line="360" w:lineRule="auto" w:beforeLines="100"/>
              <w:ind w:left="0"/>
              <w:jc w:val="left"/>
            </w:pPr>
            <w:r>
              <w:rPr>
                <w:rFonts w:ascii="宋体" w:hAnsi="Times New Roman" w:eastAsia="宋体"/>
                <w:b w:val="false"/>
                <w:i w:val="false"/>
                <w:color w:val="000000"/>
                <w:sz w:val="22"/>
              </w:rPr>
              <w:t>采集设备</w:t>
            </w:r>
          </w:p>
          <w:bookmarkEnd w:id="34"/>
        </w:tc>
        <w:tc>
          <w:tcPr>
            <w:tcW w:w="341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3ff4ae9" w:id="35"/>
          <w:p>
            <w:pPr>
              <w:spacing w:after="50" w:line="360" w:lineRule="auto" w:beforeLines="100"/>
              <w:ind w:left="0"/>
              <w:jc w:val="left"/>
            </w:pPr>
            <w:r>
              <w:rPr>
                <w:rFonts w:ascii="宋体" w:hAnsi="Times New Roman" w:eastAsia="宋体"/>
                <w:b w:val="false"/>
                <w:i w:val="false"/>
                <w:color w:val="000000"/>
                <w:sz w:val="22"/>
              </w:rPr>
              <w:t>采集数据</w:t>
            </w:r>
          </w:p>
          <w:bookmarkEnd w:id="35"/>
        </w:tc>
        <w:tc>
          <w:tcPr>
            <w:tcW w:w="338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f5e404d" w:id="36"/>
          <w:p>
            <w:pPr>
              <w:spacing w:after="50" w:line="360" w:lineRule="auto" w:beforeLines="100"/>
              <w:ind w:left="0"/>
              <w:jc w:val="left"/>
            </w:pPr>
            <w:r>
              <w:rPr>
                <w:rFonts w:ascii="宋体" w:hAnsi="Times New Roman" w:eastAsia="宋体"/>
                <w:b w:val="false"/>
                <w:i w:val="false"/>
                <w:color w:val="000000"/>
                <w:sz w:val="22"/>
              </w:rPr>
              <w:t>分析价值</w:t>
            </w:r>
          </w:p>
          <w:bookmarkEnd w:id="36"/>
        </w:tc>
      </w:tr>
      <w:tr>
        <w:trPr>
          <w:trHeight w:val="495" w:hRule="atLeast"/>
        </w:trPr>
        <w:tc>
          <w:tcPr>
            <w:tcW w:w="338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ba3030c" w:id="37"/>
          <w:p>
            <w:pPr>
              <w:spacing w:after="50" w:line="360" w:lineRule="auto" w:beforeLines="100"/>
              <w:ind w:left="0"/>
              <w:jc w:val="left"/>
            </w:pPr>
            <w:r>
              <w:rPr>
                <w:rFonts w:ascii="宋体" w:hAnsi="Times New Roman" w:eastAsia="宋体"/>
                <w:b w:val="false"/>
                <w:i w:val="false"/>
                <w:color w:val="000000"/>
                <w:sz w:val="22"/>
              </w:rPr>
              <w:t>热源厂</w:t>
            </w:r>
          </w:p>
          <w:bookmarkEnd w:id="37"/>
        </w:tc>
        <w:tc>
          <w:tcPr>
            <w:tcW w:w="345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f44a473" w:id="38"/>
          <w:p>
            <w:pPr>
              <w:spacing w:after="50" w:line="360" w:lineRule="auto" w:beforeLines="100"/>
              <w:ind w:left="0"/>
              <w:jc w:val="left"/>
            </w:pPr>
            <w:r>
              <w:rPr>
                <w:rFonts w:ascii="宋体" w:hAnsi="Times New Roman" w:eastAsia="宋体"/>
                <w:b w:val="false"/>
                <w:i w:val="false"/>
                <w:color w:val="000000"/>
                <w:sz w:val="22"/>
              </w:rPr>
              <w:t>PLC 网关+流量计+温度传感器</w:t>
            </w:r>
          </w:p>
          <w:bookmarkEnd w:id="38"/>
        </w:tc>
        <w:tc>
          <w:tcPr>
            <w:tcW w:w="341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f1b9a8f" w:id="39"/>
          <w:p>
            <w:pPr>
              <w:spacing w:after="50" w:line="360" w:lineRule="auto" w:beforeLines="100"/>
              <w:ind w:left="0"/>
              <w:jc w:val="left"/>
            </w:pPr>
            <w:r>
              <w:rPr>
                <w:rFonts w:ascii="宋体" w:hAnsi="Times New Roman" w:eastAsia="宋体"/>
                <w:b w:val="false"/>
                <w:i w:val="false"/>
                <w:color w:val="000000"/>
                <w:sz w:val="22"/>
              </w:rPr>
              <w:t>总供热量/煤耗/气耗/电耗</w:t>
            </w:r>
          </w:p>
          <w:bookmarkEnd w:id="39"/>
        </w:tc>
        <w:tc>
          <w:tcPr>
            <w:tcW w:w="338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7836083" w:id="40"/>
          <w:p>
            <w:pPr>
              <w:spacing w:after="50" w:line="360" w:lineRule="auto" w:beforeLines="100"/>
              <w:ind w:left="0"/>
              <w:jc w:val="left"/>
            </w:pPr>
            <w:r>
              <w:rPr>
                <w:rFonts w:ascii="宋体" w:hAnsi="Times New Roman" w:eastAsia="宋体"/>
                <w:b w:val="false"/>
                <w:i w:val="false"/>
                <w:color w:val="000000"/>
                <w:sz w:val="22"/>
              </w:rPr>
              <w:t>热源效率评估</w:t>
            </w:r>
          </w:p>
          <w:bookmarkEnd w:id="40"/>
        </w:tc>
      </w:tr>
      <w:tr>
        <w:trPr>
          <w:trHeight w:val="495" w:hRule="atLeast"/>
        </w:trPr>
        <w:tc>
          <w:tcPr>
            <w:tcW w:w="338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490e925" w:id="41"/>
          <w:p>
            <w:pPr>
              <w:spacing w:after="50" w:line="360" w:lineRule="auto" w:beforeLines="100"/>
              <w:ind w:left="0"/>
              <w:jc w:val="left"/>
            </w:pPr>
            <w:r>
              <w:rPr>
                <w:rFonts w:ascii="宋体" w:hAnsi="Times New Roman" w:eastAsia="宋体"/>
                <w:b w:val="false"/>
                <w:i w:val="false"/>
                <w:color w:val="000000"/>
                <w:sz w:val="22"/>
              </w:rPr>
              <w:t>换热站</w:t>
            </w:r>
          </w:p>
          <w:bookmarkEnd w:id="41"/>
        </w:tc>
        <w:tc>
          <w:tcPr>
            <w:tcW w:w="345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13f6172" w:id="42"/>
          <w:p>
            <w:pPr>
              <w:spacing w:after="50" w:line="360" w:lineRule="auto" w:beforeLines="100"/>
              <w:ind w:left="0"/>
              <w:jc w:val="left"/>
            </w:pPr>
            <w:r>
              <w:rPr>
                <w:rFonts w:ascii="宋体" w:hAnsi="Times New Roman" w:eastAsia="宋体"/>
                <w:b w:val="false"/>
                <w:i w:val="false"/>
                <w:color w:val="000000"/>
                <w:sz w:val="22"/>
              </w:rPr>
              <w:t>PLC 网关+热量表+压力变送器</w:t>
            </w:r>
          </w:p>
          <w:bookmarkEnd w:id="42"/>
        </w:tc>
        <w:tc>
          <w:tcPr>
            <w:tcW w:w="341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71944b9" w:id="43"/>
          <w:p>
            <w:pPr>
              <w:spacing w:after="50" w:line="360" w:lineRule="auto" w:beforeLines="100"/>
              <w:ind w:left="0"/>
              <w:jc w:val="left"/>
            </w:pPr>
            <w:r>
              <w:rPr>
                <w:rFonts w:ascii="宋体" w:hAnsi="Times New Roman" w:eastAsia="宋体"/>
                <w:b w:val="false"/>
                <w:i w:val="false"/>
                <w:color w:val="000000"/>
                <w:sz w:val="22"/>
              </w:rPr>
              <w:t>供回水温度/流量/压力/热量</w:t>
            </w:r>
          </w:p>
          <w:bookmarkEnd w:id="43"/>
        </w:tc>
        <w:tc>
          <w:tcPr>
            <w:tcW w:w="338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5ecf8ea" w:id="44"/>
          <w:p>
            <w:pPr>
              <w:spacing w:after="50" w:line="360" w:lineRule="auto" w:beforeLines="100"/>
              <w:ind w:left="0"/>
              <w:jc w:val="left"/>
            </w:pPr>
            <w:r>
              <w:rPr>
                <w:rFonts w:ascii="宋体" w:hAnsi="Times New Roman" w:eastAsia="宋体"/>
                <w:b w:val="false"/>
                <w:i w:val="false"/>
                <w:color w:val="000000"/>
                <w:sz w:val="22"/>
              </w:rPr>
              <w:t>单位面积热耗对比</w:t>
            </w:r>
          </w:p>
          <w:bookmarkEnd w:id="44"/>
        </w:tc>
      </w:tr>
      <w:tr>
        <w:trPr>
          <w:trHeight w:val="495" w:hRule="atLeast"/>
        </w:trPr>
        <w:tc>
          <w:tcPr>
            <w:tcW w:w="338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ebc9dd5" w:id="45"/>
          <w:p>
            <w:pPr>
              <w:spacing w:after="50" w:line="360" w:lineRule="auto" w:beforeLines="100"/>
              <w:ind w:left="0"/>
              <w:jc w:val="left"/>
            </w:pPr>
            <w:r>
              <w:rPr>
                <w:rFonts w:ascii="宋体" w:hAnsi="Times New Roman" w:eastAsia="宋体"/>
                <w:b w:val="false"/>
                <w:i w:val="false"/>
                <w:color w:val="000000"/>
                <w:sz w:val="22"/>
              </w:rPr>
              <w:t>楼栋热力入口</w:t>
            </w:r>
          </w:p>
          <w:bookmarkEnd w:id="45"/>
        </w:tc>
        <w:tc>
          <w:tcPr>
            <w:tcW w:w="345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aa4155a" w:id="46"/>
          <w:p>
            <w:pPr>
              <w:spacing w:after="50" w:line="360" w:lineRule="auto" w:beforeLines="100"/>
              <w:ind w:left="0"/>
              <w:jc w:val="left"/>
            </w:pPr>
            <w:r>
              <w:rPr>
                <w:rFonts w:ascii="宋体" w:hAnsi="Times New Roman" w:eastAsia="宋体"/>
                <w:b w:val="false"/>
                <w:i w:val="false"/>
                <w:color w:val="000000"/>
                <w:sz w:val="22"/>
              </w:rPr>
              <w:t>热量表+无线采集终端</w:t>
            </w:r>
          </w:p>
          <w:bookmarkEnd w:id="46"/>
        </w:tc>
        <w:tc>
          <w:tcPr>
            <w:tcW w:w="341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488738d" w:id="47"/>
          <w:p>
            <w:pPr>
              <w:spacing w:after="50" w:line="360" w:lineRule="auto" w:beforeLines="100"/>
              <w:ind w:left="0"/>
              <w:jc w:val="left"/>
            </w:pPr>
            <w:r>
              <w:rPr>
                <w:rFonts w:ascii="宋体" w:hAnsi="Times New Roman" w:eastAsia="宋体"/>
                <w:b w:val="false"/>
                <w:i w:val="false"/>
                <w:color w:val="000000"/>
                <w:sz w:val="22"/>
              </w:rPr>
              <w:t>楼栋供热量/回水温度</w:t>
            </w:r>
          </w:p>
          <w:bookmarkEnd w:id="47"/>
        </w:tc>
        <w:tc>
          <w:tcPr>
            <w:tcW w:w="338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2f7199e" w:id="48"/>
          <w:p>
            <w:pPr>
              <w:spacing w:after="50" w:line="360" w:lineRule="auto" w:beforeLines="100"/>
              <w:ind w:left="0"/>
              <w:jc w:val="left"/>
            </w:pPr>
            <w:r>
              <w:rPr>
                <w:rFonts w:ascii="宋体" w:hAnsi="Times New Roman" w:eastAsia="宋体"/>
                <w:b w:val="false"/>
                <w:i w:val="false"/>
                <w:color w:val="000000"/>
                <w:sz w:val="22"/>
              </w:rPr>
              <w:t>管网水力平衡分析</w:t>
            </w:r>
          </w:p>
          <w:bookmarkEnd w:id="48"/>
        </w:tc>
      </w:tr>
      <w:tr>
        <w:trPr>
          <w:trHeight w:val="495" w:hRule="atLeast"/>
        </w:trPr>
        <w:tc>
          <w:tcPr>
            <w:tcW w:w="338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15b5c90" w:id="49"/>
          <w:p>
            <w:pPr>
              <w:spacing w:after="50" w:line="360" w:lineRule="auto" w:beforeLines="100"/>
              <w:ind w:left="0"/>
              <w:jc w:val="left"/>
            </w:pPr>
            <w:r>
              <w:rPr>
                <w:rFonts w:ascii="宋体" w:hAnsi="Times New Roman" w:eastAsia="宋体"/>
                <w:b w:val="false"/>
                <w:i w:val="false"/>
                <w:color w:val="000000"/>
                <w:sz w:val="22"/>
              </w:rPr>
              <w:t>住户端</w:t>
            </w:r>
          </w:p>
          <w:bookmarkEnd w:id="49"/>
        </w:tc>
        <w:tc>
          <w:tcPr>
            <w:tcW w:w="345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35435a9" w:id="50"/>
          <w:p>
            <w:pPr>
              <w:spacing w:after="50" w:line="360" w:lineRule="auto" w:beforeLines="100"/>
              <w:ind w:left="0"/>
              <w:jc w:val="left"/>
            </w:pPr>
            <w:r>
              <w:rPr>
                <w:rFonts w:ascii="宋体" w:hAnsi="Times New Roman" w:eastAsia="宋体"/>
                <w:b w:val="false"/>
                <w:i w:val="false"/>
                <w:color w:val="000000"/>
                <w:sz w:val="22"/>
              </w:rPr>
              <w:t>室温采集器（选配）</w:t>
            </w:r>
          </w:p>
          <w:bookmarkEnd w:id="50"/>
        </w:tc>
        <w:tc>
          <w:tcPr>
            <w:tcW w:w="341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1b2bae6" w:id="51"/>
          <w:p>
            <w:pPr>
              <w:spacing w:after="50" w:line="360" w:lineRule="auto" w:beforeLines="100"/>
              <w:ind w:left="0"/>
              <w:jc w:val="left"/>
            </w:pPr>
            <w:r>
              <w:rPr>
                <w:rFonts w:ascii="宋体" w:hAnsi="Times New Roman" w:eastAsia="宋体"/>
                <w:b w:val="false"/>
                <w:i w:val="false"/>
                <w:color w:val="000000"/>
                <w:sz w:val="22"/>
              </w:rPr>
              <w:t>室内温度</w:t>
            </w:r>
          </w:p>
          <w:bookmarkEnd w:id="51"/>
        </w:tc>
        <w:tc>
          <w:tcPr>
            <w:tcW w:w="338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7497734" w:id="52"/>
          <w:p>
            <w:pPr>
              <w:spacing w:after="50" w:line="360" w:lineRule="auto" w:beforeLines="100"/>
              <w:ind w:left="0"/>
              <w:jc w:val="left"/>
            </w:pPr>
            <w:r>
              <w:rPr>
                <w:rFonts w:ascii="宋体" w:hAnsi="Times New Roman" w:eastAsia="宋体"/>
                <w:b w:val="false"/>
                <w:i w:val="false"/>
                <w:color w:val="000000"/>
                <w:sz w:val="22"/>
              </w:rPr>
              <w:t>供热质量达标率</w:t>
            </w:r>
          </w:p>
          <w:bookmarkEnd w:id="52"/>
        </w:tc>
      </w:tr>
    </w:tbl>
    <w:bookmarkEnd w:id="32"/>
    <w:bookmarkStart w:name="rlhCh" w:id="53"/>
    <w:p>
      <w:pPr>
        <w:spacing w:line="360" w:lineRule="auto" w:beforeLines="100" w:after="50"/>
        <w:ind w:left="0"/>
      </w:pPr>
      <w:r>
        <w:rPr>
          <w:rFonts w:eastAsia="宋体" w:ascii="宋体"/>
        </w:rPr>
        <w:pict>
          <v:rect style="width:0;height:1.5pt" id="_x0000_i1025" o:hr="t" o:hrstd="t" o:hralign="center" stroked="f" fillcolor="#a0a0a0"/>
        </w:pict>
      </w:r>
    </w:p>
    <w:bookmarkEnd w:id="53"/>
    <w:bookmarkStart w:name="p3laE" w:id="54"/>
    <w:p>
      <w:pPr>
        <w:pStyle w:val="Heading2"/>
        <w:spacing w:after="50" w:line="360" w:lineRule="auto" w:beforeLines="100"/>
        <w:ind w:left="0"/>
        <w:jc w:val="left"/>
      </w:pPr>
      <w:r>
        <w:rPr>
          <w:rFonts w:ascii="宋体" w:hAnsi="Times New Roman" w:eastAsia="宋体"/>
        </w:rPr>
        <w:t>Q3：水务和泵站场景有哪些核心监测指标？</w:t>
      </w:r>
    </w:p>
    <w:bookmarkEnd w:id="54"/>
    <w:bookmarkStart w:name="u51502ac0" w:id="55"/>
    <w:p>
      <w:pPr>
        <w:spacing w:after="50" w:line="360" w:lineRule="auto" w:beforeLines="100"/>
        <w:ind w:left="0"/>
        <w:jc w:val="left"/>
      </w:pPr>
      <w:r>
        <w:rPr>
          <w:rFonts w:ascii="宋体" w:hAnsi="Times New Roman" w:eastAsia="宋体"/>
          <w:b w:val="false"/>
          <w:i w:val="false"/>
          <w:color w:val="000000"/>
          <w:sz w:val="22"/>
        </w:rPr>
        <w:t>泵站是水务系统最大的能耗节点，一个中型城市自来水公司的取水和加压泵站年电费动辄数千万元。但传统管理方式下，这笔钱花在了哪台泵上、泵的效率是不是在下降、有没有更低电价的时段可以多抽水——这些问题基本回答不了。</w:t>
      </w:r>
    </w:p>
    <w:bookmarkEnd w:id="55"/>
    <w:bookmarkStart w:name="ub60d4690" w:id="56"/>
    <w:p>
      <w:pPr>
        <w:spacing w:after="50" w:line="360" w:lineRule="auto" w:beforeLines="100"/>
        <w:ind w:left="0"/>
        <w:jc w:val="left"/>
      </w:pPr>
      <w:r>
        <w:rPr>
          <w:rFonts w:ascii="宋体" w:hAnsi="Times New Roman" w:eastAsia="宋体"/>
          <w:b w:val="false"/>
          <w:i w:val="false"/>
          <w:color w:val="000000"/>
          <w:sz w:val="22"/>
        </w:rPr>
        <w:t>轨物方案通过 PLC 数据采集网关对接水泵控制柜和配电柜，实时采集每台水泵的运行电流、功率、瞬时流量和出口扬程。核心分析指标是"吨水电耗"——把泵的耗电量除以抽水量，得到每吨水的用电成本。这个指标一经建立，全站水泵的能耗效率高低立判——一台吨水电耗 0.38 kWh 的泵和一台 0.52 kWh 的泵，前者效率高出 27%。原因可能是叶轮磨损、管道阻力增大或者水泵选型本身就偏大，系统会持续追踪这个指标的变化趋势，在效率持续下降时发出预警。</w:t>
      </w:r>
    </w:p>
    <w:bookmarkEnd w:id="56"/>
    <w:bookmarkStart w:name="u540b5198" w:id="57"/>
    <w:p>
      <w:pPr>
        <w:spacing w:after="50" w:line="360" w:lineRule="auto" w:beforeLines="100"/>
        <w:ind w:left="0"/>
        <w:jc w:val="left"/>
      </w:pPr>
      <w:r>
        <w:rPr>
          <w:rFonts w:ascii="宋体" w:hAnsi="Times New Roman" w:eastAsia="宋体"/>
          <w:b w:val="false"/>
          <w:i w:val="false"/>
          <w:color w:val="000000"/>
          <w:sz w:val="22"/>
        </w:rPr>
        <w:t>对于分布在田间的灌区泵站，核心价值在于远程集中监控——上百个泵站散布在几十平方公里的区域内，传统巡检靠车轮子跑，每个站一个月最多去一两次。PLC 网关把水位计、流量计和水泵控制器的数据 4G 上传至统一平台后，运维人员在办公室就能看到每个泵站的实时状态，设备离线自动告警。巡检从"定期跑一趟"变成"有异常才出动"。</w:t>
      </w:r>
    </w:p>
    <w:bookmarkEnd w:id="57"/>
    <w:bookmarkStart w:name="GdpOu" w:id="58"/>
    <w:p>
      <w:pPr>
        <w:spacing w:line="360" w:lineRule="auto" w:beforeLines="100" w:after="50"/>
        <w:ind w:left="0"/>
      </w:pPr>
      <w:r>
        <w:rPr>
          <w:rFonts w:eastAsia="宋体" w:ascii="宋体"/>
        </w:rPr>
        <w:pict>
          <v:rect style="width:0;height:1.5pt" id="_x0000_i1025" o:hr="t" o:hrstd="t" o:hralign="center" stroked="f" fillcolor="#a0a0a0"/>
        </w:pict>
      </w:r>
    </w:p>
    <w:bookmarkEnd w:id="58"/>
    <w:bookmarkStart w:name="miieK" w:id="59"/>
    <w:p>
      <w:pPr>
        <w:pStyle w:val="Heading2"/>
        <w:spacing w:after="50" w:line="360" w:lineRule="auto" w:beforeLines="100"/>
        <w:ind w:left="0"/>
        <w:jc w:val="left"/>
      </w:pPr>
      <w:r>
        <w:rPr>
          <w:rFonts w:ascii="宋体" w:hAnsi="Times New Roman" w:eastAsia="宋体"/>
        </w:rPr>
        <w:t>Q4：科研仪器（大仪管理）的监测是怎么实现的？</w:t>
      </w:r>
    </w:p>
    <w:bookmarkEnd w:id="59"/>
    <w:bookmarkStart w:name="u93a837f3" w:id="60"/>
    <w:p>
      <w:pPr>
        <w:spacing w:after="50" w:line="360" w:lineRule="auto" w:beforeLines="100"/>
        <w:ind w:left="0"/>
        <w:jc w:val="left"/>
      </w:pPr>
      <w:r>
        <w:rPr>
          <w:rFonts w:ascii="宋体" w:hAnsi="Times New Roman" w:eastAsia="宋体"/>
          <w:b w:val="false"/>
          <w:i w:val="false"/>
          <w:color w:val="000000"/>
          <w:sz w:val="22"/>
        </w:rPr>
        <w:t>科研仪器的管理有一个非常特殊的痛点——使用效率的核算。一台价值两千万的冷冻电镜、一台八百万的核磁共振波谱仪，到底有多少时间在做实验、多少时间在闲置、哪个课题组用得多、用了多少次——这些问题全凭实验室的手写登记本，数据既不客观也不可追溯。</w:t>
      </w:r>
    </w:p>
    <w:bookmarkEnd w:id="60"/>
    <w:bookmarkStart w:name="uc62112d5" w:id="61"/>
    <w:p>
      <w:pPr>
        <w:spacing w:after="50" w:line="360" w:lineRule="auto" w:beforeLines="100"/>
        <w:ind w:left="0"/>
        <w:jc w:val="left"/>
      </w:pPr>
      <w:r>
        <w:rPr>
          <w:rFonts w:ascii="宋体" w:hAnsi="Times New Roman" w:eastAsia="宋体"/>
          <w:b w:val="false"/>
          <w:i w:val="false"/>
          <w:color w:val="000000"/>
          <w:sz w:val="22"/>
        </w:rPr>
        <w:t>轨物方案用了一种非常巧妙的非侵入式监测方法。在仪器电源线上串接一台非接触式电流智能检测仪——不需要拆仪器、不需要接线、不需要软件对接。检测仪内置 NB-IoT 通讯模组，上电自动联网，通过开口式互感器实时采集仪器的工作电流，根据电流大小自动判断仪器是开机、待机还是满功率运行。</w:t>
      </w:r>
    </w:p>
    <w:bookmarkEnd w:id="61"/>
    <w:bookmarkStart w:name="ua4895cad" w:id="62"/>
    <w:p>
      <w:pPr>
        <w:spacing w:after="50" w:line="360" w:lineRule="auto" w:beforeLines="100"/>
        <w:ind w:left="0"/>
        <w:jc w:val="left"/>
      </w:pPr>
      <w:r>
        <w:rPr>
          <w:rFonts w:ascii="宋体" w:hAnsi="Times New Roman" w:eastAsia="宋体"/>
          <w:b w:val="false"/>
          <w:i w:val="false"/>
          <w:color w:val="000000"/>
          <w:sz w:val="22"/>
        </w:rPr>
        <w:t>平台侧自动统计每台仪器的机时——今天运行了几小时、这个月用了多少次、哪个课题组使用频率最高。数据客观，不可人为篡改。对于国家级科研仪器共享平台，这套方案既满足了上级主管部门的考核要求，也避免了让课题组花时间填使用记录的行政负担。同时，大型仪器的单位小时碳排放远高于普通电器，IoT 实测的碳排精度比用电总量乘排放因子高出一个量级。</w:t>
      </w:r>
    </w:p>
    <w:bookmarkEnd w:id="62"/>
    <w:bookmarkStart w:name="yyyPL" w:id="63"/>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3351"/>
        <w:gridCol w:w="3473"/>
        <w:gridCol w:w="3448"/>
        <w:gridCol w:w="3362"/>
      </w:tblGrid>
      <w:tr>
        <w:trPr>
          <w:trHeight w:val="495" w:hRule="atLeast"/>
        </w:trPr>
        <w:tc>
          <w:tcPr>
            <w:tcW w:w="335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3a0210f" w:id="64"/>
          <w:p>
            <w:pPr>
              <w:spacing w:after="50" w:line="360" w:lineRule="auto" w:beforeLines="100"/>
              <w:ind w:left="0"/>
              <w:jc w:val="left"/>
            </w:pPr>
            <w:r>
              <w:rPr>
                <w:rFonts w:ascii="宋体" w:hAnsi="Times New Roman" w:eastAsia="宋体"/>
                <w:b w:val="false"/>
                <w:i w:val="false"/>
                <w:color w:val="000000"/>
                <w:sz w:val="22"/>
              </w:rPr>
              <w:t>监测方式</w:t>
            </w:r>
          </w:p>
          <w:bookmarkEnd w:id="64"/>
        </w:tc>
        <w:tc>
          <w:tcPr>
            <w:tcW w:w="347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cfd835d" w:id="65"/>
          <w:p>
            <w:pPr>
              <w:spacing w:after="50" w:line="360" w:lineRule="auto" w:beforeLines="100"/>
              <w:ind w:left="0"/>
              <w:jc w:val="left"/>
            </w:pPr>
            <w:r>
              <w:rPr>
                <w:rFonts w:ascii="宋体" w:hAnsi="Times New Roman" w:eastAsia="宋体"/>
                <w:b w:val="false"/>
                <w:i w:val="false"/>
                <w:color w:val="000000"/>
                <w:sz w:val="22"/>
              </w:rPr>
              <w:t>设备</w:t>
            </w:r>
          </w:p>
          <w:bookmarkEnd w:id="65"/>
        </w:tc>
        <w:tc>
          <w:tcPr>
            <w:tcW w:w="344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6c846e4" w:id="66"/>
          <w:p>
            <w:pPr>
              <w:spacing w:after="50" w:line="360" w:lineRule="auto" w:beforeLines="100"/>
              <w:ind w:left="0"/>
              <w:jc w:val="left"/>
            </w:pPr>
            <w:r>
              <w:rPr>
                <w:rFonts w:ascii="宋体" w:hAnsi="Times New Roman" w:eastAsia="宋体"/>
                <w:b w:val="false"/>
                <w:i w:val="false"/>
                <w:color w:val="000000"/>
                <w:sz w:val="22"/>
              </w:rPr>
              <w:t>采集方式</w:t>
            </w:r>
          </w:p>
          <w:bookmarkEnd w:id="66"/>
        </w:tc>
        <w:tc>
          <w:tcPr>
            <w:tcW w:w="336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46a848c" w:id="67"/>
          <w:p>
            <w:pPr>
              <w:spacing w:after="50" w:line="360" w:lineRule="auto" w:beforeLines="100"/>
              <w:ind w:left="0"/>
              <w:jc w:val="left"/>
            </w:pPr>
            <w:r>
              <w:rPr>
                <w:rFonts w:ascii="宋体" w:hAnsi="Times New Roman" w:eastAsia="宋体"/>
                <w:b w:val="false"/>
                <w:i w:val="false"/>
                <w:color w:val="000000"/>
                <w:sz w:val="22"/>
              </w:rPr>
              <w:t>对仪器影响</w:t>
            </w:r>
          </w:p>
          <w:bookmarkEnd w:id="67"/>
        </w:tc>
      </w:tr>
      <w:tr>
        <w:trPr>
          <w:trHeight w:val="495" w:hRule="atLeast"/>
        </w:trPr>
        <w:tc>
          <w:tcPr>
            <w:tcW w:w="335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fa6cfbc" w:id="68"/>
          <w:p>
            <w:pPr>
              <w:spacing w:after="50" w:line="360" w:lineRule="auto" w:beforeLines="100"/>
              <w:ind w:left="0"/>
              <w:jc w:val="left"/>
            </w:pPr>
            <w:r>
              <w:rPr>
                <w:rFonts w:ascii="宋体" w:hAnsi="Times New Roman" w:eastAsia="宋体"/>
                <w:b w:val="false"/>
                <w:i w:val="false"/>
                <w:color w:val="000000"/>
                <w:sz w:val="22"/>
              </w:rPr>
              <w:t>电流检测</w:t>
            </w:r>
          </w:p>
          <w:bookmarkEnd w:id="68"/>
        </w:tc>
        <w:tc>
          <w:tcPr>
            <w:tcW w:w="347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61592b9" w:id="69"/>
          <w:p>
            <w:pPr>
              <w:spacing w:after="50" w:line="360" w:lineRule="auto" w:beforeLines="100"/>
              <w:ind w:left="0"/>
              <w:jc w:val="left"/>
            </w:pPr>
            <w:r>
              <w:rPr>
                <w:rFonts w:ascii="宋体" w:hAnsi="Times New Roman" w:eastAsia="宋体"/>
                <w:b w:val="false"/>
                <w:i w:val="false"/>
                <w:color w:val="000000"/>
                <w:sz w:val="22"/>
              </w:rPr>
              <w:t>NB-IoT 电流智能检测仪</w:t>
            </w:r>
          </w:p>
          <w:bookmarkEnd w:id="69"/>
        </w:tc>
        <w:tc>
          <w:tcPr>
            <w:tcW w:w="344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f0c116c" w:id="70"/>
          <w:p>
            <w:pPr>
              <w:spacing w:after="50" w:line="360" w:lineRule="auto" w:beforeLines="100"/>
              <w:ind w:left="0"/>
              <w:jc w:val="left"/>
            </w:pPr>
            <w:r>
              <w:rPr>
                <w:rFonts w:ascii="宋体" w:hAnsi="Times New Roman" w:eastAsia="宋体"/>
                <w:b w:val="false"/>
                <w:i w:val="false"/>
                <w:color w:val="000000"/>
                <w:sz w:val="22"/>
              </w:rPr>
              <w:t>非接触式开口互感器</w:t>
            </w:r>
          </w:p>
          <w:bookmarkEnd w:id="70"/>
        </w:tc>
        <w:tc>
          <w:tcPr>
            <w:tcW w:w="336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7760415" w:id="71"/>
          <w:p>
            <w:pPr>
              <w:spacing w:after="50" w:line="360" w:lineRule="auto" w:beforeLines="100"/>
              <w:ind w:left="0"/>
              <w:jc w:val="left"/>
            </w:pPr>
            <w:r>
              <w:rPr>
                <w:rFonts w:ascii="宋体" w:hAnsi="Times New Roman" w:eastAsia="宋体"/>
                <w:b w:val="false"/>
                <w:i w:val="false"/>
                <w:color w:val="000000"/>
                <w:sz w:val="22"/>
              </w:rPr>
              <w:t>零干扰 · 不采集实验数据</w:t>
            </w:r>
          </w:p>
          <w:bookmarkEnd w:id="71"/>
        </w:tc>
      </w:tr>
      <w:tr>
        <w:trPr>
          <w:trHeight w:val="495" w:hRule="atLeast"/>
        </w:trPr>
        <w:tc>
          <w:tcPr>
            <w:tcW w:w="335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93fdd95" w:id="72"/>
          <w:p>
            <w:pPr>
              <w:spacing w:after="50" w:line="360" w:lineRule="auto" w:beforeLines="100"/>
              <w:ind w:left="0"/>
              <w:jc w:val="left"/>
            </w:pPr>
            <w:r>
              <w:rPr>
                <w:rFonts w:ascii="宋体" w:hAnsi="Times New Roman" w:eastAsia="宋体"/>
                <w:b w:val="false"/>
                <w:i w:val="false"/>
                <w:color w:val="000000"/>
                <w:sz w:val="22"/>
              </w:rPr>
              <w:t>机时统计</w:t>
            </w:r>
          </w:p>
          <w:bookmarkEnd w:id="72"/>
        </w:tc>
        <w:tc>
          <w:tcPr>
            <w:tcW w:w="347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027990b" w:id="73"/>
          <w:p>
            <w:pPr>
              <w:spacing w:after="50" w:line="360" w:lineRule="auto" w:beforeLines="100"/>
              <w:ind w:left="0"/>
              <w:jc w:val="left"/>
            </w:pPr>
            <w:r>
              <w:rPr>
                <w:rFonts w:ascii="宋体" w:hAnsi="Times New Roman" w:eastAsia="宋体"/>
                <w:b w:val="false"/>
                <w:i w:val="false"/>
                <w:color w:val="000000"/>
                <w:sz w:val="22"/>
              </w:rPr>
              <w:t>云平台自动计算</w:t>
            </w:r>
          </w:p>
          <w:bookmarkEnd w:id="73"/>
        </w:tc>
        <w:tc>
          <w:tcPr>
            <w:tcW w:w="344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bc9b88b" w:id="74"/>
          <w:p>
            <w:pPr>
              <w:spacing w:after="50" w:line="360" w:lineRule="auto" w:beforeLines="100"/>
              <w:ind w:left="0"/>
              <w:jc w:val="left"/>
            </w:pPr>
            <w:r>
              <w:rPr>
                <w:rFonts w:ascii="宋体" w:hAnsi="Times New Roman" w:eastAsia="宋体"/>
                <w:b w:val="false"/>
                <w:i w:val="false"/>
                <w:color w:val="000000"/>
                <w:sz w:val="22"/>
              </w:rPr>
              <w:t>电流阈值判断运行/待机/关机</w:t>
            </w:r>
          </w:p>
          <w:bookmarkEnd w:id="74"/>
        </w:tc>
        <w:tc>
          <w:tcPr>
            <w:tcW w:w="336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281e8d9" w:id="75"/>
          <w:p>
            <w:pPr>
              <w:spacing w:after="50" w:line="360" w:lineRule="auto" w:beforeLines="100"/>
              <w:ind w:left="0"/>
              <w:jc w:val="left"/>
            </w:pPr>
            <w:r>
              <w:rPr>
                <w:rFonts w:ascii="宋体" w:hAnsi="Times New Roman" w:eastAsia="宋体"/>
                <w:b w:val="false"/>
                <w:i w:val="false"/>
                <w:color w:val="000000"/>
                <w:sz w:val="22"/>
              </w:rPr>
              <w:t>无需人工登记</w:t>
            </w:r>
          </w:p>
          <w:bookmarkEnd w:id="75"/>
        </w:tc>
      </w:tr>
      <w:tr>
        <w:trPr>
          <w:trHeight w:val="495" w:hRule="atLeast"/>
        </w:trPr>
        <w:tc>
          <w:tcPr>
            <w:tcW w:w="335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82898d6" w:id="76"/>
          <w:p>
            <w:pPr>
              <w:spacing w:after="50" w:line="360" w:lineRule="auto" w:beforeLines="100"/>
              <w:ind w:left="0"/>
              <w:jc w:val="left"/>
            </w:pPr>
            <w:r>
              <w:rPr>
                <w:rFonts w:ascii="宋体" w:hAnsi="Times New Roman" w:eastAsia="宋体"/>
                <w:b w:val="false"/>
                <w:i w:val="false"/>
                <w:color w:val="000000"/>
                <w:sz w:val="22"/>
              </w:rPr>
              <w:t>数据上云</w:t>
            </w:r>
          </w:p>
          <w:bookmarkEnd w:id="76"/>
        </w:tc>
        <w:tc>
          <w:tcPr>
            <w:tcW w:w="347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618517e" w:id="77"/>
          <w:p>
            <w:pPr>
              <w:spacing w:after="50" w:line="360" w:lineRule="auto" w:beforeLines="100"/>
              <w:ind w:left="0"/>
              <w:jc w:val="left"/>
            </w:pPr>
            <w:r>
              <w:rPr>
                <w:rFonts w:ascii="宋体" w:hAnsi="Times New Roman" w:eastAsia="宋体"/>
                <w:b w:val="false"/>
                <w:i w:val="false"/>
                <w:color w:val="000000"/>
                <w:sz w:val="22"/>
              </w:rPr>
              <w:t>NB-IoT 即插即用</w:t>
            </w:r>
          </w:p>
          <w:bookmarkEnd w:id="77"/>
        </w:tc>
        <w:tc>
          <w:tcPr>
            <w:tcW w:w="344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6e73500" w:id="78"/>
          <w:p>
            <w:pPr>
              <w:spacing w:after="50" w:line="360" w:lineRule="auto" w:beforeLines="100"/>
              <w:ind w:left="0"/>
              <w:jc w:val="left"/>
            </w:pPr>
            <w:r>
              <w:rPr>
                <w:rFonts w:ascii="宋体" w:hAnsi="Times New Roman" w:eastAsia="宋体"/>
                <w:b w:val="false"/>
                <w:i w:val="false"/>
                <w:color w:val="000000"/>
                <w:sz w:val="22"/>
              </w:rPr>
              <w:t>上电自动联网+自动上报</w:t>
            </w:r>
          </w:p>
          <w:bookmarkEnd w:id="78"/>
        </w:tc>
        <w:tc>
          <w:tcPr>
            <w:tcW w:w="336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787eeef" w:id="79"/>
          <w:p>
            <w:pPr>
              <w:spacing w:after="50" w:line="360" w:lineRule="auto" w:beforeLines="100"/>
              <w:ind w:left="0"/>
              <w:jc w:val="left"/>
            </w:pPr>
            <w:r>
              <w:rPr>
                <w:rFonts w:ascii="宋体" w:hAnsi="Times New Roman" w:eastAsia="宋体"/>
                <w:b w:val="false"/>
                <w:i w:val="false"/>
                <w:color w:val="000000"/>
                <w:sz w:val="22"/>
              </w:rPr>
              <w:t>零配置</w:t>
            </w:r>
          </w:p>
          <w:bookmarkEnd w:id="79"/>
        </w:tc>
      </w:tr>
      <w:tr>
        <w:trPr>
          <w:trHeight w:val="495" w:hRule="atLeast"/>
        </w:trPr>
        <w:tc>
          <w:tcPr>
            <w:tcW w:w="335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1977388" w:id="80"/>
          <w:p>
            <w:pPr>
              <w:spacing w:after="50" w:line="360" w:lineRule="auto" w:beforeLines="100"/>
              <w:ind w:left="0"/>
              <w:jc w:val="left"/>
            </w:pPr>
            <w:r>
              <w:rPr>
                <w:rFonts w:ascii="宋体" w:hAnsi="Times New Roman" w:eastAsia="宋体"/>
                <w:b w:val="false"/>
                <w:i w:val="false"/>
                <w:color w:val="000000"/>
                <w:sz w:val="22"/>
              </w:rPr>
              <w:t>碳核算</w:t>
            </w:r>
          </w:p>
          <w:bookmarkEnd w:id="80"/>
        </w:tc>
        <w:tc>
          <w:tcPr>
            <w:tcW w:w="347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4cb1e3c" w:id="81"/>
          <w:p>
            <w:pPr>
              <w:spacing w:after="50" w:line="360" w:lineRule="auto" w:beforeLines="100"/>
              <w:ind w:left="0"/>
              <w:jc w:val="left"/>
            </w:pPr>
            <w:r>
              <w:rPr>
                <w:rFonts w:ascii="宋体" w:hAnsi="Times New Roman" w:eastAsia="宋体"/>
                <w:b w:val="false"/>
                <w:i w:val="false"/>
                <w:color w:val="000000"/>
                <w:sz w:val="22"/>
              </w:rPr>
              <w:t>逐度电碳排溯源</w:t>
            </w:r>
          </w:p>
          <w:bookmarkEnd w:id="81"/>
        </w:tc>
        <w:tc>
          <w:tcPr>
            <w:tcW w:w="344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8ab2e4e" w:id="82"/>
          <w:p>
            <w:pPr>
              <w:spacing w:after="50" w:line="360" w:lineRule="auto" w:beforeLines="100"/>
              <w:ind w:left="0"/>
              <w:jc w:val="left"/>
            </w:pPr>
            <w:r>
              <w:rPr>
                <w:rFonts w:ascii="宋体" w:hAnsi="Times New Roman" w:eastAsia="宋体"/>
                <w:b w:val="false"/>
                <w:i w:val="false"/>
                <w:color w:val="000000"/>
                <w:sz w:val="22"/>
              </w:rPr>
              <w:t>实时追踪+ISO 14064 报告</w:t>
            </w:r>
          </w:p>
          <w:bookmarkEnd w:id="82"/>
        </w:tc>
        <w:tc>
          <w:tcPr>
            <w:tcW w:w="336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ce7caf2" w:id="83"/>
          <w:p>
            <w:pPr>
              <w:spacing w:after="50" w:line="360" w:lineRule="auto" w:beforeLines="100"/>
              <w:ind w:left="0"/>
              <w:jc w:val="left"/>
            </w:pPr>
            <w:r>
              <w:rPr>
                <w:rFonts w:ascii="宋体" w:hAnsi="Times New Roman" w:eastAsia="宋体"/>
                <w:b w:val="false"/>
                <w:i w:val="false"/>
                <w:color w:val="000000"/>
                <w:sz w:val="22"/>
              </w:rPr>
              <w:t>精度比因子法高一个量级</w:t>
            </w:r>
          </w:p>
          <w:bookmarkEnd w:id="83"/>
        </w:tc>
      </w:tr>
    </w:tbl>
    <w:bookmarkEnd w:id="63"/>
    <w:bookmarkStart w:name="bpvgY" w:id="84"/>
    <w:p>
      <w:pPr>
        <w:spacing w:line="360" w:lineRule="auto" w:beforeLines="100" w:after="50"/>
        <w:ind w:left="0"/>
      </w:pPr>
      <w:r>
        <w:rPr>
          <w:rFonts w:eastAsia="宋体" w:ascii="宋体"/>
        </w:rPr>
        <w:pict>
          <v:rect style="width:0;height:1.5pt" id="_x0000_i1025" o:hr="t" o:hrstd="t" o:hralign="center" stroked="f" fillcolor="#a0a0a0"/>
        </w:pict>
      </w:r>
    </w:p>
    <w:bookmarkEnd w:id="84"/>
    <w:bookmarkStart w:name="fOR6v" w:id="85"/>
    <w:p>
      <w:pPr>
        <w:pStyle w:val="Heading2"/>
        <w:spacing w:after="50" w:line="360" w:lineRule="auto" w:beforeLines="100"/>
        <w:ind w:left="0"/>
        <w:jc w:val="left"/>
      </w:pPr>
      <w:r>
        <w:rPr>
          <w:rFonts w:ascii="宋体" w:hAnsi="Times New Roman" w:eastAsia="宋体"/>
        </w:rPr>
        <w:t>Q5：IoT 碳核算为什么比排放因子法准一个量级？</w:t>
      </w:r>
    </w:p>
    <w:bookmarkEnd w:id="85"/>
    <w:bookmarkStart w:name="uc436fa5a" w:id="86"/>
    <w:p>
      <w:pPr>
        <w:spacing w:after="50" w:line="360" w:lineRule="auto" w:beforeLines="100"/>
        <w:ind w:left="0"/>
        <w:jc w:val="left"/>
      </w:pPr>
      <w:r>
        <w:rPr>
          <w:rFonts w:ascii="宋体" w:hAnsi="Times New Roman" w:eastAsia="宋体"/>
          <w:b w:val="false"/>
          <w:i w:val="false"/>
          <w:color w:val="000000"/>
          <w:sz w:val="22"/>
        </w:rPr>
        <w:t>这是四类场景共同的核心能力，也是整个方案中最容易被低估的价值点。</w:t>
      </w:r>
    </w:p>
    <w:bookmarkEnd w:id="86"/>
    <w:bookmarkStart w:name="u6c25f8c9" w:id="87"/>
    <w:p>
      <w:pPr>
        <w:spacing w:after="50" w:line="360" w:lineRule="auto" w:beforeLines="100"/>
        <w:ind w:left="0"/>
        <w:jc w:val="left"/>
      </w:pPr>
      <w:r>
        <w:rPr>
          <w:rFonts w:ascii="宋体" w:hAnsi="Times New Roman" w:eastAsia="宋体"/>
          <w:b w:val="false"/>
          <w:i w:val="false"/>
          <w:color w:val="000000"/>
          <w:sz w:val="22"/>
        </w:rPr>
        <w:t>传统的排放因子法算碳排的逻辑非常简单——拿全年的用电总量乘以区域电网的平均排放因子。这个因子通常来自几年前发布的统计数据，比如华东电网 0.7035 kg CO₂/kWh。但问题在于"平均"两个字——电网在不同时段的排放强度差异极大。中午光伏大发时，电网的边际排放接近于零；夜间火电满发时，边际排放可能是中午的数倍。</w:t>
      </w:r>
    </w:p>
    <w:bookmarkEnd w:id="87"/>
    <w:bookmarkStart w:name="u793a48cc" w:id="88"/>
    <w:p>
      <w:pPr>
        <w:spacing w:after="50" w:line="360" w:lineRule="auto" w:beforeLines="100"/>
        <w:ind w:left="0"/>
        <w:jc w:val="left"/>
      </w:pPr>
      <w:r>
        <w:rPr>
          <w:rFonts w:ascii="宋体" w:hAnsi="Times New Roman" w:eastAsia="宋体"/>
          <w:b w:val="false"/>
          <w:i w:val="false"/>
          <w:color w:val="000000"/>
          <w:sz w:val="22"/>
        </w:rPr>
        <w:t>同样的园区，同样的一年用了一百万度电，如果用电集中在白天光伏出力时段，实际碳排放远低于因子法的计算值；如果集中在夜间，实际碳排放远高于因子法的计算值。排放因子法完全抹平了这个差异，误差最高可达 50% 以上。这就是"差一个量级"的含义——不是数字的绝对大小，而是核算精度存在本质性鸿沟。</w:t>
      </w:r>
    </w:p>
    <w:bookmarkEnd w:id="88"/>
    <w:bookmarkStart w:name="ua9e42347" w:id="89"/>
    <w:p>
      <w:pPr>
        <w:spacing w:after="50" w:line="360" w:lineRule="auto" w:beforeLines="100"/>
        <w:ind w:left="0"/>
        <w:jc w:val="left"/>
      </w:pPr>
      <w:r>
        <w:rPr>
          <w:rFonts w:ascii="宋体" w:hAnsi="Times New Roman" w:eastAsia="宋体"/>
          <w:b w:val="false"/>
          <w:i w:val="false"/>
          <w:color w:val="000000"/>
          <w:sz w:val="22"/>
        </w:rPr>
        <w:t>轨物方案的做法是：通过对全系统设备的实时数据采集，以 15 分钟为粒度逐时段追踪每一度电的来源属性。光伏发电的度电碳排为零，电网取电的度电乘以当前时段的动态排放因子，如果系统内有多余的光伏电给储能充电，储能放出的电追溯其充电来源。报告按 ISO 14064 标准自动生成，数据链路从设备端到平台端全量可追溯。这种"逐度电溯源"的方法，是满足欧盟碳边境调节机制和下游客户供应链碳中和合规的必然方向。</w:t>
      </w:r>
    </w:p>
    <w:bookmarkEnd w:id="89"/>
    <w:bookmarkStart w:name="frjzh" w:id="90"/>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2720"/>
        <w:gridCol w:w="2702"/>
        <w:gridCol w:w="2762"/>
        <w:gridCol w:w="2683"/>
        <w:gridCol w:w="2767"/>
      </w:tblGrid>
      <w:tr>
        <w:trPr>
          <w:trHeight w:val="495" w:hRule="atLeast"/>
        </w:trPr>
        <w:tc>
          <w:tcPr>
            <w:tcW w:w="272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be10feb" w:id="91"/>
          <w:p>
            <w:pPr>
              <w:spacing w:after="50" w:line="360" w:lineRule="auto" w:beforeLines="100"/>
              <w:ind w:left="0"/>
              <w:jc w:val="left"/>
            </w:pPr>
            <w:r>
              <w:rPr>
                <w:rFonts w:ascii="宋体" w:hAnsi="Times New Roman" w:eastAsia="宋体"/>
                <w:b w:val="false"/>
                <w:i w:val="false"/>
                <w:color w:val="000000"/>
                <w:sz w:val="22"/>
              </w:rPr>
              <w:t>核算方式</w:t>
            </w:r>
          </w:p>
          <w:bookmarkEnd w:id="91"/>
        </w:tc>
        <w:tc>
          <w:tcPr>
            <w:tcW w:w="270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c89349d" w:id="92"/>
          <w:p>
            <w:pPr>
              <w:spacing w:after="50" w:line="360" w:lineRule="auto" w:beforeLines="100"/>
              <w:ind w:left="0"/>
              <w:jc w:val="left"/>
            </w:pPr>
            <w:r>
              <w:rPr>
                <w:rFonts w:ascii="宋体" w:hAnsi="Times New Roman" w:eastAsia="宋体"/>
                <w:b w:val="false"/>
                <w:i w:val="false"/>
                <w:color w:val="000000"/>
                <w:sz w:val="22"/>
              </w:rPr>
              <w:t>粒度</w:t>
            </w:r>
          </w:p>
          <w:bookmarkEnd w:id="92"/>
        </w:tc>
        <w:tc>
          <w:tcPr>
            <w:tcW w:w="276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3525d0b" w:id="93"/>
          <w:p>
            <w:pPr>
              <w:spacing w:after="50" w:line="360" w:lineRule="auto" w:beforeLines="100"/>
              <w:ind w:left="0"/>
              <w:jc w:val="left"/>
            </w:pPr>
            <w:r>
              <w:rPr>
                <w:rFonts w:ascii="宋体" w:hAnsi="Times New Roman" w:eastAsia="宋体"/>
                <w:b w:val="false"/>
                <w:i w:val="false"/>
                <w:color w:val="000000"/>
                <w:sz w:val="22"/>
              </w:rPr>
              <w:t>精度</w:t>
            </w:r>
          </w:p>
          <w:bookmarkEnd w:id="93"/>
        </w:tc>
        <w:tc>
          <w:tcPr>
            <w:tcW w:w="268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1dbf158" w:id="94"/>
          <w:p>
            <w:pPr>
              <w:spacing w:after="50" w:line="360" w:lineRule="auto" w:beforeLines="100"/>
              <w:ind w:left="0"/>
              <w:jc w:val="center"/>
            </w:pPr>
            <w:r>
              <w:rPr>
                <w:rFonts w:ascii="宋体" w:hAnsi="Times New Roman" w:eastAsia="宋体"/>
                <w:b w:val="false"/>
                <w:i w:val="false"/>
                <w:color w:val="000000"/>
                <w:sz w:val="22"/>
              </w:rPr>
              <w:t>绿电识别</w:t>
            </w:r>
          </w:p>
          <w:bookmarkEnd w:id="94"/>
        </w:tc>
        <w:tc>
          <w:tcPr>
            <w:tcW w:w="276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e3e1848" w:id="95"/>
          <w:p>
            <w:pPr>
              <w:spacing w:after="50" w:line="360" w:lineRule="auto" w:beforeLines="100"/>
              <w:ind w:left="0"/>
              <w:jc w:val="center"/>
            </w:pPr>
            <w:r>
              <w:rPr>
                <w:rFonts w:ascii="宋体" w:hAnsi="Times New Roman" w:eastAsia="宋体"/>
                <w:b w:val="false"/>
                <w:i w:val="false"/>
                <w:color w:val="000000"/>
                <w:sz w:val="22"/>
              </w:rPr>
              <w:t>可审计性</w:t>
            </w:r>
          </w:p>
          <w:bookmarkEnd w:id="95"/>
        </w:tc>
      </w:tr>
      <w:tr>
        <w:trPr>
          <w:trHeight w:val="495" w:hRule="atLeast"/>
        </w:trPr>
        <w:tc>
          <w:tcPr>
            <w:tcW w:w="272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2e0cb02" w:id="96"/>
          <w:p>
            <w:pPr>
              <w:spacing w:after="50" w:line="360" w:lineRule="auto" w:beforeLines="100"/>
              <w:ind w:left="0"/>
              <w:jc w:val="left"/>
            </w:pPr>
            <w:r>
              <w:rPr>
                <w:rFonts w:ascii="宋体" w:hAnsi="Times New Roman" w:eastAsia="宋体"/>
                <w:b w:val="false"/>
                <w:i w:val="false"/>
                <w:color w:val="000000"/>
                <w:sz w:val="22"/>
              </w:rPr>
              <w:t>排放因子法</w:t>
            </w:r>
          </w:p>
          <w:bookmarkEnd w:id="96"/>
        </w:tc>
        <w:tc>
          <w:tcPr>
            <w:tcW w:w="270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eb53223" w:id="97"/>
          <w:p>
            <w:pPr>
              <w:spacing w:after="50" w:line="360" w:lineRule="auto" w:beforeLines="100"/>
              <w:ind w:left="0"/>
              <w:jc w:val="left"/>
            </w:pPr>
            <w:r>
              <w:rPr>
                <w:rFonts w:ascii="宋体" w:hAnsi="Times New Roman" w:eastAsia="宋体"/>
                <w:b w:val="false"/>
                <w:i w:val="false"/>
                <w:color w:val="000000"/>
                <w:sz w:val="22"/>
              </w:rPr>
              <w:t>年度总量</w:t>
            </w:r>
          </w:p>
          <w:bookmarkEnd w:id="97"/>
        </w:tc>
        <w:tc>
          <w:tcPr>
            <w:tcW w:w="276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7f08174" w:id="98"/>
          <w:p>
            <w:pPr>
              <w:spacing w:after="50" w:line="360" w:lineRule="auto" w:beforeLines="100"/>
              <w:ind w:left="0"/>
              <w:jc w:val="left"/>
            </w:pPr>
            <w:r>
              <w:rPr>
                <w:rFonts w:ascii="宋体" w:hAnsi="Times New Roman" w:eastAsia="宋体"/>
                <w:b w:val="false"/>
                <w:i w:val="false"/>
                <w:color w:val="000000"/>
                <w:sz w:val="22"/>
              </w:rPr>
              <w:t>误差可达 50%+</w:t>
            </w:r>
          </w:p>
          <w:bookmarkEnd w:id="98"/>
        </w:tc>
        <w:tc>
          <w:tcPr>
            <w:tcW w:w="268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207ebf6" w:id="99"/>
          <w:p>
            <w:pPr>
              <w:spacing w:after="50" w:line="360" w:lineRule="auto" w:beforeLines="100"/>
              <w:ind w:left="0"/>
              <w:jc w:val="center"/>
            </w:pPr>
            <w:r>
              <w:rPr>
                <w:rFonts w:ascii="宋体" w:hAnsi="Times New Roman" w:eastAsia="宋体"/>
                <w:b w:val="false"/>
                <w:i w:val="false"/>
                <w:color w:val="000000"/>
                <w:sz w:val="22"/>
              </w:rPr>
              <w:t>✕</w:t>
            </w:r>
          </w:p>
          <w:bookmarkEnd w:id="99"/>
        </w:tc>
        <w:tc>
          <w:tcPr>
            <w:tcW w:w="276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9a578f3" w:id="100"/>
          <w:p>
            <w:pPr>
              <w:spacing w:after="50" w:line="360" w:lineRule="auto" w:beforeLines="100"/>
              <w:ind w:left="0"/>
              <w:jc w:val="center"/>
            </w:pPr>
            <w:r>
              <w:rPr>
                <w:rFonts w:ascii="宋体" w:hAnsi="Times New Roman" w:eastAsia="宋体"/>
                <w:b w:val="false"/>
                <w:i w:val="false"/>
                <w:color w:val="000000"/>
                <w:sz w:val="22"/>
              </w:rPr>
              <w:t>✕</w:t>
            </w:r>
          </w:p>
          <w:bookmarkEnd w:id="100"/>
        </w:tc>
      </w:tr>
      <w:tr>
        <w:trPr>
          <w:trHeight w:val="495" w:hRule="atLeast"/>
        </w:trPr>
        <w:tc>
          <w:tcPr>
            <w:tcW w:w="272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f426289" w:id="101"/>
          <w:p>
            <w:pPr>
              <w:spacing w:after="50" w:line="360" w:lineRule="auto" w:beforeLines="100"/>
              <w:ind w:left="0"/>
              <w:jc w:val="left"/>
            </w:pPr>
            <w:r>
              <w:rPr>
                <w:rFonts w:ascii="宋体" w:hAnsi="Times New Roman" w:eastAsia="宋体"/>
                <w:b w:val="false"/>
                <w:i w:val="false"/>
                <w:color w:val="000000"/>
                <w:sz w:val="22"/>
              </w:rPr>
              <w:t>IoT 实测追踪</w:t>
            </w:r>
          </w:p>
          <w:bookmarkEnd w:id="101"/>
        </w:tc>
        <w:tc>
          <w:tcPr>
            <w:tcW w:w="270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7d28245" w:id="102"/>
          <w:p>
            <w:pPr>
              <w:spacing w:after="50" w:line="360" w:lineRule="auto" w:beforeLines="100"/>
              <w:ind w:left="0"/>
              <w:jc w:val="left"/>
            </w:pPr>
            <w:r>
              <w:rPr>
                <w:rFonts w:ascii="宋体" w:hAnsi="Times New Roman" w:eastAsia="宋体"/>
                <w:b w:val="false"/>
                <w:i w:val="false"/>
                <w:color w:val="000000"/>
                <w:sz w:val="22"/>
              </w:rPr>
              <w:t>15 分钟逐度电</w:t>
            </w:r>
          </w:p>
          <w:bookmarkEnd w:id="102"/>
        </w:tc>
        <w:tc>
          <w:tcPr>
            <w:tcW w:w="276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2a845e2" w:id="103"/>
          <w:p>
            <w:pPr>
              <w:spacing w:after="50" w:line="360" w:lineRule="auto" w:beforeLines="100"/>
              <w:ind w:left="0"/>
              <w:jc w:val="left"/>
            </w:pPr>
            <w:r>
              <w:rPr>
                <w:rFonts w:ascii="宋体" w:hAnsi="Times New Roman" w:eastAsia="宋体"/>
                <w:b w:val="false"/>
                <w:i w:val="false"/>
                <w:color w:val="000000"/>
                <w:sz w:val="22"/>
              </w:rPr>
              <w:t>误差 &lt; 5%</w:t>
            </w:r>
          </w:p>
          <w:bookmarkEnd w:id="103"/>
        </w:tc>
        <w:tc>
          <w:tcPr>
            <w:tcW w:w="268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48ee0ba" w:id="104"/>
          <w:p>
            <w:pPr>
              <w:spacing w:after="50" w:line="360" w:lineRule="auto" w:beforeLines="100"/>
              <w:ind w:left="0"/>
              <w:jc w:val="center"/>
            </w:pPr>
            <w:r>
              <w:rPr>
                <w:rFonts w:ascii="宋体" w:hAnsi="Times New Roman" w:eastAsia="宋体"/>
                <w:b w:val="false"/>
                <w:i w:val="false"/>
                <w:color w:val="000000"/>
                <w:sz w:val="22"/>
              </w:rPr>
              <w:t>✅</w:t>
            </w:r>
            <w:r>
              <w:rPr>
                <w:rFonts w:ascii="宋体" w:hAnsi="Times New Roman" w:eastAsia="宋体"/>
                <w:b w:val="false"/>
                <w:i w:val="false"/>
                <w:color w:val="000000"/>
                <w:sz w:val="22"/>
              </w:rPr>
              <w:t xml:space="preserve"> 光伏/电网/储能追溯</w:t>
            </w:r>
          </w:p>
          <w:bookmarkEnd w:id="104"/>
        </w:tc>
        <w:tc>
          <w:tcPr>
            <w:tcW w:w="276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f79c937" w:id="105"/>
          <w:p>
            <w:pPr>
              <w:spacing w:after="50" w:line="360" w:lineRule="auto" w:beforeLines="100"/>
              <w:ind w:left="0"/>
              <w:jc w:val="center"/>
            </w:pPr>
            <w:r>
              <w:rPr>
                <w:rFonts w:ascii="宋体" w:hAnsi="Times New Roman" w:eastAsia="宋体"/>
                <w:b w:val="false"/>
                <w:i w:val="false"/>
                <w:color w:val="000000"/>
                <w:sz w:val="22"/>
              </w:rPr>
              <w:t>✅</w:t>
            </w:r>
            <w:r>
              <w:rPr>
                <w:rFonts w:ascii="宋体" w:hAnsi="Times New Roman" w:eastAsia="宋体"/>
                <w:b w:val="false"/>
                <w:i w:val="false"/>
                <w:color w:val="000000"/>
                <w:sz w:val="22"/>
              </w:rPr>
              <w:t xml:space="preserve"> ISO 14064 合规</w:t>
            </w:r>
          </w:p>
          <w:bookmarkEnd w:id="105"/>
        </w:tc>
      </w:tr>
    </w:tbl>
    <w:bookmarkEnd w:id="90"/>
    <w:bookmarkStart w:name="cSLaG" w:id="106"/>
    <w:p>
      <w:pPr>
        <w:spacing w:line="360" w:lineRule="auto" w:beforeLines="100" w:after="50"/>
        <w:ind w:left="0"/>
      </w:pPr>
      <w:r>
        <w:rPr>
          <w:rFonts w:eastAsia="宋体" w:ascii="宋体"/>
        </w:rPr>
        <w:pict>
          <v:rect style="width:0;height:1.5pt" id="_x0000_i1025" o:hr="t" o:hrstd="t" o:hralign="center" stroked="f" fillcolor="#a0a0a0"/>
        </w:pict>
      </w:r>
    </w:p>
    <w:bookmarkEnd w:id="106"/>
    <w:bookmarkStart w:name="ZyYmG" w:id="107"/>
    <w:p>
      <w:pPr>
        <w:pStyle w:val="Heading2"/>
        <w:spacing w:after="50" w:line="360" w:lineRule="auto" w:beforeLines="100"/>
        <w:ind w:left="0"/>
        <w:jc w:val="left"/>
      </w:pPr>
      <w:r>
        <w:rPr>
          <w:rFonts w:ascii="宋体" w:hAnsi="Times New Roman" w:eastAsia="宋体"/>
        </w:rPr>
        <w:t>Q6：PLC 数据采集网关在整个系统中扮演什么角色？</w:t>
      </w:r>
    </w:p>
    <w:bookmarkEnd w:id="107"/>
    <w:bookmarkStart w:name="ue68866f2" w:id="108"/>
    <w:p>
      <w:pPr>
        <w:spacing w:after="50" w:line="360" w:lineRule="auto" w:beforeLines="100"/>
        <w:ind w:left="0"/>
        <w:jc w:val="left"/>
      </w:pPr>
      <w:r>
        <w:rPr>
          <w:rFonts w:ascii="宋体" w:hAnsi="Times New Roman" w:eastAsia="宋体"/>
          <w:b w:val="false"/>
          <w:i w:val="false"/>
          <w:color w:val="000000"/>
          <w:sz w:val="22"/>
        </w:rPr>
        <w:t>PLC 数据采集网关（GW-DAG-PLCA）是连接现场设备与云平台的核心枢纽，也是供暖、水务和泵站三个场景共用的标准采集终端。它的角色可以理解为"翻译官 + 快递员"——向下用 Modbus、S7 等工业协议读懂 PLC、仪表和传感器的数据，通过 RJ45 以太网或 RS-485 接口采集，然后通过内置的 4G 全网通模组以 MQTT 协议打包上传至云平台。</w:t>
      </w:r>
    </w:p>
    <w:bookmarkEnd w:id="108"/>
    <w:bookmarkStart w:name="ucd884eca" w:id="109"/>
    <w:p>
      <w:pPr>
        <w:spacing w:after="50" w:line="360" w:lineRule="auto" w:beforeLines="100"/>
        <w:ind w:left="0"/>
        <w:jc w:val="left"/>
      </w:pPr>
      <w:r>
        <w:rPr>
          <w:rFonts w:ascii="宋体" w:hAnsi="Times New Roman" w:eastAsia="宋体"/>
          <w:b w:val="false"/>
          <w:i w:val="false"/>
          <w:color w:val="000000"/>
          <w:sz w:val="22"/>
        </w:rPr>
        <w:t>网关同时具备断网缓存和自动补传能力——灌区泵站和换热站往往位于偏远区域，4G 信号不稳定是常态。网络中断期间，所有采集数据暂存于网关本地 Flash 中，网络恢复后按时间戳顺序自动补传至平台，历史数据曲线自动补全，不会出现断网时段的数据空白。内置蓝牙 BLE5.0 模块支持手机近距离配置调试，运维人员到现场不需要携带电脑。</w:t>
      </w:r>
    </w:p>
    <w:bookmarkEnd w:id="109"/>
    <w:bookmarkStart w:name="KZkav" w:id="110"/>
    <w:p>
      <w:pPr>
        <w:spacing w:line="360" w:lineRule="auto" w:beforeLines="100" w:after="50"/>
        <w:ind w:left="0"/>
      </w:pPr>
      <w:r>
        <w:rPr>
          <w:rFonts w:eastAsia="宋体" w:ascii="宋体"/>
        </w:rPr>
        <w:pict>
          <v:rect style="width:0;height:1.5pt" id="_x0000_i1025" o:hr="t" o:hrstd="t" o:hralign="center" stroked="f" fillcolor="#a0a0a0"/>
        </w:pict>
      </w:r>
    </w:p>
    <w:bookmarkEnd w:id="110"/>
    <w:bookmarkStart w:name="doJkH" w:id="111"/>
    <w:p>
      <w:pPr>
        <w:pStyle w:val="Heading2"/>
        <w:spacing w:after="50" w:line="360" w:lineRule="auto" w:beforeLines="100"/>
        <w:ind w:left="0"/>
        <w:jc w:val="left"/>
      </w:pPr>
      <w:r>
        <w:rPr>
          <w:rFonts w:ascii="宋体" w:hAnsi="Times New Roman" w:eastAsia="宋体"/>
        </w:rPr>
        <w:t>Q7：红外抄表采集装置用在什么场景？</w:t>
      </w:r>
    </w:p>
    <w:bookmarkEnd w:id="111"/>
    <w:bookmarkStart w:name="u99cc982e" w:id="112"/>
    <w:p>
      <w:pPr>
        <w:spacing w:after="50" w:line="360" w:lineRule="auto" w:beforeLines="100"/>
        <w:ind w:left="0"/>
        <w:jc w:val="left"/>
      </w:pPr>
      <w:r>
        <w:rPr>
          <w:rFonts w:ascii="宋体" w:hAnsi="Times New Roman" w:eastAsia="宋体"/>
          <w:b w:val="false"/>
          <w:i w:val="false"/>
          <w:color w:val="000000"/>
          <w:sz w:val="22"/>
        </w:rPr>
        <w:t>红外抄表装置主要解决"已有电表但数据拿不到"的问题。很多换热站和水泵房在建设时安装了电能表，但这些表要么没有通讯接口，要么通讯协议不对外开放。红外抄表装置通过红外光脉冲方式非接触读取电表数据——不需要接线、不需要打开表盖、不破坏铅封——最大读取距离 5 米，读取角度 ±15°。</w:t>
      </w:r>
    </w:p>
    <w:bookmarkEnd w:id="112"/>
    <w:bookmarkStart w:name="u15fe3693" w:id="113"/>
    <w:p>
      <w:pPr>
        <w:spacing w:after="50" w:line="360" w:lineRule="auto" w:beforeLines="100"/>
        <w:ind w:left="0"/>
        <w:jc w:val="left"/>
      </w:pPr>
      <w:r>
        <w:rPr>
          <w:rFonts w:ascii="宋体" w:hAnsi="Times New Roman" w:eastAsia="宋体"/>
          <w:b w:val="false"/>
          <w:i w:val="false"/>
          <w:color w:val="000000"/>
          <w:sz w:val="22"/>
        </w:rPr>
        <w:t>装置支持 DL/T 645-2007、DL/T 645-1997 和 DL/T 698.45 三种主流电表协议，自动识别切换。可读取正向和反向有功总电能及尖峰平谷四个费率的电量，配套微信小程序支持远程查看电量数据和下发抄表指令。NB-IoT 通讯覆盖地下室等信号弱场景，内置锂电池低功耗休眠机制，按每日一次抄表频率，续航可达三年以上。对于存量改造项目——电站已经建成、电表已经装好、不能大规模动土施工——这是成本最低的数据接入方案。</w:t>
      </w:r>
    </w:p>
    <w:bookmarkEnd w:id="113"/>
    <w:bookmarkStart w:name="keqAC" w:id="114"/>
    <w:p>
      <w:pPr>
        <w:spacing w:line="360" w:lineRule="auto" w:beforeLines="100" w:after="50"/>
        <w:ind w:left="0"/>
      </w:pPr>
      <w:r>
        <w:rPr>
          <w:rFonts w:eastAsia="宋体" w:ascii="宋体"/>
        </w:rPr>
        <w:pict>
          <v:rect style="width:0;height:1.5pt" id="_x0000_i1025" o:hr="t" o:hrstd="t" o:hralign="center" stroked="f" fillcolor="#a0a0a0"/>
        </w:pict>
      </w:r>
    </w:p>
    <w:bookmarkEnd w:id="114"/>
    <w:bookmarkStart w:name="PaErU" w:id="115"/>
    <w:p>
      <w:pPr>
        <w:pStyle w:val="Heading2"/>
        <w:spacing w:after="50" w:line="360" w:lineRule="auto" w:beforeLines="100"/>
        <w:ind w:left="0"/>
        <w:jc w:val="left"/>
      </w:pPr>
      <w:r>
        <w:rPr>
          <w:rFonts w:ascii="宋体" w:hAnsi="Times New Roman" w:eastAsia="宋体"/>
        </w:rPr>
        <w:t>Q8：系统部署需要改造现有设备吗？</w:t>
      </w:r>
    </w:p>
    <w:bookmarkEnd w:id="115"/>
    <w:bookmarkStart w:name="u437e08f4" w:id="116"/>
    <w:p>
      <w:pPr>
        <w:spacing w:after="50" w:line="360" w:lineRule="auto" w:beforeLines="100"/>
        <w:ind w:left="0"/>
        <w:jc w:val="left"/>
      </w:pPr>
      <w:r>
        <w:rPr>
          <w:rFonts w:ascii="宋体" w:hAnsi="Times New Roman" w:eastAsia="宋体"/>
          <w:b w:val="false"/>
          <w:i w:val="false"/>
          <w:color w:val="000000"/>
          <w:sz w:val="22"/>
        </w:rPr>
        <w:t>这是四个场景共同的核心优势——所有采集设备全部采用非侵入式安装，不改造现场设备本体结构。</w:t>
      </w:r>
    </w:p>
    <w:bookmarkEnd w:id="116"/>
    <w:bookmarkStart w:name="u151cf117" w:id="117"/>
    <w:p>
      <w:pPr>
        <w:spacing w:after="50" w:line="360" w:lineRule="auto" w:beforeLines="100"/>
        <w:ind w:left="0"/>
        <w:jc w:val="left"/>
      </w:pPr>
      <w:r>
        <w:rPr>
          <w:rFonts w:ascii="宋体" w:hAnsi="Times New Roman" w:eastAsia="宋体"/>
          <w:b w:val="false"/>
          <w:i w:val="false"/>
          <w:color w:val="000000"/>
          <w:sz w:val="22"/>
        </w:rPr>
        <w:t>供暖和水务场景只需要在控制柜内加装一台 PLC 数据采集网关，通过 RJ45 网线或 RS-485 双绞线接入 PLC 或仪表的通讯端口，不需要更换 PLC、水泵控制器或任何传感器。科研仪器场景的电流检测仪串接在电源线上，开口式互感器卡在电源线外皮上，不接触仪器内部电路。红外抄表装置贴在电表旁边，红外探头对准电表通讯窗，不接线不拆表。</w:t>
      </w:r>
    </w:p>
    <w:bookmarkEnd w:id="117"/>
    <w:bookmarkStart w:name="uf045ce52" w:id="118"/>
    <w:p>
      <w:pPr>
        <w:spacing w:after="50" w:line="360" w:lineRule="auto" w:beforeLines="100"/>
        <w:ind w:left="0"/>
        <w:jc w:val="left"/>
      </w:pPr>
      <w:r>
        <w:rPr>
          <w:rFonts w:ascii="宋体" w:hAnsi="Times New Roman" w:eastAsia="宋体"/>
          <w:b w:val="false"/>
          <w:i w:val="false"/>
          <w:color w:val="000000"/>
          <w:sz w:val="22"/>
        </w:rPr>
        <w:t>整个系统的施工量通常只有两项——在控制柜里装一个网关和插一张 SIM 卡，半天内完成单站部署。这也是方案在存量改造市场中最核心的竞争力——让已经运行多年的老设备不换不改就能上云。</w:t>
      </w:r>
    </w:p>
    <w:bookmarkEnd w:id="118"/>
    <w:bookmarkStart w:name="N1VlH" w:id="119"/>
    <w:p>
      <w:pPr>
        <w:spacing w:line="360" w:lineRule="auto" w:beforeLines="100" w:after="50"/>
        <w:ind w:left="0"/>
      </w:pPr>
      <w:r>
        <w:rPr>
          <w:rFonts w:eastAsia="宋体" w:ascii="宋体"/>
        </w:rPr>
        <w:pict>
          <v:rect style="width:0;height:1.5pt" id="_x0000_i1025" o:hr="t" o:hrstd="t" o:hralign="center" stroked="f" fillcolor="#a0a0a0"/>
        </w:pict>
      </w:r>
    </w:p>
    <w:bookmarkEnd w:id="119"/>
    <w:bookmarkStart w:name="TdQGS" w:id="120"/>
    <w:p>
      <w:pPr>
        <w:pStyle w:val="Heading2"/>
        <w:spacing w:after="50" w:line="360" w:lineRule="auto" w:beforeLines="100"/>
        <w:ind w:left="0"/>
        <w:jc w:val="left"/>
      </w:pPr>
      <w:r>
        <w:rPr>
          <w:rFonts w:ascii="宋体" w:hAnsi="Times New Roman" w:eastAsia="宋体"/>
        </w:rPr>
        <w:t>Q9：核心硬件技术参数是什么？</w:t>
      </w:r>
    </w:p>
    <w:bookmarkEnd w:id="120"/>
    <w:bookmarkStart w:name="Gcom9" w:id="121"/>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2458"/>
        <w:gridCol w:w="2875"/>
        <w:gridCol w:w="3083"/>
        <w:gridCol w:w="2565"/>
        <w:gridCol w:w="2653"/>
      </w:tblGrid>
      <w:tr>
        <w:trPr>
          <w:trHeight w:val="495" w:hRule="atLeast"/>
        </w:trPr>
        <w:tc>
          <w:tcPr>
            <w:tcW w:w="245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8dba7ab" w:id="122"/>
          <w:p>
            <w:pPr>
              <w:spacing w:after="50" w:line="360" w:lineRule="auto" w:beforeLines="100"/>
              <w:ind w:left="0"/>
              <w:jc w:val="left"/>
            </w:pPr>
            <w:r>
              <w:rPr>
                <w:rFonts w:ascii="宋体" w:hAnsi="Times New Roman" w:eastAsia="宋体"/>
                <w:b w:val="false"/>
                <w:i w:val="false"/>
                <w:color w:val="000000"/>
                <w:sz w:val="22"/>
              </w:rPr>
              <w:t>设备名称</w:t>
            </w:r>
          </w:p>
          <w:bookmarkEnd w:id="122"/>
        </w:tc>
        <w:tc>
          <w:tcPr>
            <w:tcW w:w="287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52f4b7b" w:id="123"/>
          <w:p>
            <w:pPr>
              <w:spacing w:after="50" w:line="360" w:lineRule="auto" w:beforeLines="100"/>
              <w:ind w:left="0"/>
              <w:jc w:val="left"/>
            </w:pPr>
            <w:r>
              <w:rPr>
                <w:rFonts w:ascii="宋体" w:hAnsi="Times New Roman" w:eastAsia="宋体"/>
                <w:b w:val="false"/>
                <w:i w:val="false"/>
                <w:color w:val="000000"/>
                <w:sz w:val="22"/>
              </w:rPr>
              <w:t>型号</w:t>
            </w:r>
          </w:p>
          <w:bookmarkEnd w:id="123"/>
        </w:tc>
        <w:tc>
          <w:tcPr>
            <w:tcW w:w="308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909f94b" w:id="124"/>
          <w:p>
            <w:pPr>
              <w:spacing w:after="50" w:line="360" w:lineRule="auto" w:beforeLines="100"/>
              <w:ind w:left="0"/>
              <w:jc w:val="left"/>
            </w:pPr>
            <w:r>
              <w:rPr>
                <w:rFonts w:ascii="宋体" w:hAnsi="Times New Roman" w:eastAsia="宋体"/>
                <w:b w:val="false"/>
                <w:i w:val="false"/>
                <w:color w:val="000000"/>
                <w:sz w:val="22"/>
              </w:rPr>
              <w:t>核心参数</w:t>
            </w:r>
          </w:p>
          <w:bookmarkEnd w:id="124"/>
        </w:tc>
        <w:tc>
          <w:tcPr>
            <w:tcW w:w="256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45643a8" w:id="125"/>
          <w:p>
            <w:pPr>
              <w:spacing w:after="50" w:line="360" w:lineRule="auto" w:beforeLines="100"/>
              <w:ind w:left="0"/>
              <w:jc w:val="left"/>
            </w:pPr>
            <w:r>
              <w:rPr>
                <w:rFonts w:ascii="宋体" w:hAnsi="Times New Roman" w:eastAsia="宋体"/>
                <w:b w:val="false"/>
                <w:i w:val="false"/>
                <w:color w:val="000000"/>
                <w:sz w:val="22"/>
              </w:rPr>
              <w:t>通讯方式</w:t>
            </w:r>
          </w:p>
          <w:bookmarkEnd w:id="125"/>
        </w:tc>
        <w:tc>
          <w:tcPr>
            <w:tcW w:w="265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df46ce6" w:id="126"/>
          <w:p>
            <w:pPr>
              <w:spacing w:after="50" w:line="360" w:lineRule="auto" w:beforeLines="100"/>
              <w:ind w:left="0"/>
              <w:jc w:val="left"/>
            </w:pPr>
            <w:r>
              <w:rPr>
                <w:rFonts w:ascii="宋体" w:hAnsi="Times New Roman" w:eastAsia="宋体"/>
                <w:b w:val="false"/>
                <w:i w:val="false"/>
                <w:color w:val="000000"/>
                <w:sz w:val="22"/>
              </w:rPr>
              <w:t>供电</w:t>
            </w:r>
          </w:p>
          <w:bookmarkEnd w:id="126"/>
        </w:tc>
      </w:tr>
      <w:tr>
        <w:trPr>
          <w:trHeight w:val="495" w:hRule="atLeast"/>
        </w:trPr>
        <w:tc>
          <w:tcPr>
            <w:tcW w:w="245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a452917" w:id="127"/>
          <w:p>
            <w:pPr>
              <w:spacing w:after="50" w:line="360" w:lineRule="auto" w:beforeLines="100"/>
              <w:ind w:left="0"/>
              <w:jc w:val="left"/>
            </w:pPr>
            <w:r>
              <w:rPr>
                <w:rFonts w:ascii="宋体" w:hAnsi="Times New Roman" w:eastAsia="宋体"/>
                <w:b w:val="false"/>
                <w:i w:val="false"/>
                <w:color w:val="000000"/>
                <w:sz w:val="22"/>
              </w:rPr>
              <w:t>PLC 数据采集网关</w:t>
            </w:r>
          </w:p>
          <w:bookmarkEnd w:id="127"/>
        </w:tc>
        <w:tc>
          <w:tcPr>
            <w:tcW w:w="287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3af857d" w:id="128"/>
          <w:p>
            <w:pPr>
              <w:spacing w:after="50" w:line="360" w:lineRule="auto" w:beforeLines="100"/>
              <w:ind w:left="0"/>
              <w:jc w:val="left"/>
            </w:pPr>
            <w:r>
              <w:rPr>
                <w:rFonts w:ascii="宋体" w:hAnsi="Times New Roman" w:eastAsia="宋体"/>
                <w:b w:val="false"/>
                <w:i w:val="false"/>
                <w:color w:val="000000"/>
                <w:sz w:val="22"/>
              </w:rPr>
              <w:t>GW-DAG-PLCA</w:t>
            </w:r>
          </w:p>
          <w:bookmarkEnd w:id="128"/>
        </w:tc>
        <w:tc>
          <w:tcPr>
            <w:tcW w:w="308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accfb0d" w:id="129"/>
          <w:p>
            <w:pPr>
              <w:spacing w:after="50" w:line="360" w:lineRule="auto" w:beforeLines="100"/>
              <w:ind w:left="0"/>
              <w:jc w:val="left"/>
            </w:pPr>
            <w:r>
              <w:rPr>
                <w:rFonts w:ascii="宋体" w:hAnsi="Times New Roman" w:eastAsia="宋体"/>
                <w:b w:val="false"/>
                <w:i w:val="false"/>
                <w:color w:val="000000"/>
                <w:sz w:val="22"/>
              </w:rPr>
              <w:t>RJ45 以太网×1 + RS485×1 · S7/Modbus/Ethernet/IP</w:t>
            </w:r>
          </w:p>
          <w:bookmarkEnd w:id="129"/>
        </w:tc>
        <w:tc>
          <w:tcPr>
            <w:tcW w:w="256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dbc997f" w:id="130"/>
          <w:p>
            <w:pPr>
              <w:spacing w:after="50" w:line="360" w:lineRule="auto" w:beforeLines="100"/>
              <w:ind w:left="0"/>
              <w:jc w:val="left"/>
            </w:pPr>
            <w:r>
              <w:rPr>
                <w:rFonts w:ascii="宋体" w:hAnsi="Times New Roman" w:eastAsia="宋体"/>
                <w:b w:val="false"/>
                <w:i w:val="false"/>
                <w:color w:val="000000"/>
                <w:sz w:val="22"/>
              </w:rPr>
              <w:t>4G CAT1 + BLE5.0</w:t>
            </w:r>
          </w:p>
          <w:bookmarkEnd w:id="130"/>
        </w:tc>
        <w:tc>
          <w:tcPr>
            <w:tcW w:w="265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09341cd" w:id="131"/>
          <w:p>
            <w:pPr>
              <w:spacing w:after="50" w:line="360" w:lineRule="auto" w:beforeLines="100"/>
              <w:ind w:left="0"/>
              <w:jc w:val="left"/>
            </w:pPr>
            <w:r>
              <w:rPr>
                <w:rFonts w:ascii="宋体" w:hAnsi="Times New Roman" w:eastAsia="宋体"/>
                <w:b w:val="false"/>
                <w:i w:val="false"/>
                <w:color w:val="000000"/>
                <w:sz w:val="22"/>
              </w:rPr>
              <w:t>DC 24V</w:t>
            </w:r>
          </w:p>
          <w:bookmarkEnd w:id="131"/>
        </w:tc>
      </w:tr>
      <w:tr>
        <w:trPr>
          <w:trHeight w:val="495" w:hRule="atLeast"/>
        </w:trPr>
        <w:tc>
          <w:tcPr>
            <w:tcW w:w="245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fb32fc8" w:id="132"/>
          <w:p>
            <w:pPr>
              <w:spacing w:after="50" w:line="360" w:lineRule="auto" w:beforeLines="100"/>
              <w:ind w:left="0"/>
              <w:jc w:val="left"/>
            </w:pPr>
            <w:r>
              <w:rPr>
                <w:rFonts w:ascii="宋体" w:hAnsi="Times New Roman" w:eastAsia="宋体"/>
                <w:b w:val="false"/>
                <w:i w:val="false"/>
                <w:color w:val="000000"/>
                <w:sz w:val="22"/>
              </w:rPr>
              <w:t>红外抄表装置</w:t>
            </w:r>
          </w:p>
          <w:bookmarkEnd w:id="132"/>
        </w:tc>
        <w:tc>
          <w:tcPr>
            <w:tcW w:w="287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eaf0cdc" w:id="133"/>
          <w:p>
            <w:pPr>
              <w:spacing w:after="50" w:line="360" w:lineRule="auto" w:beforeLines="100"/>
              <w:ind w:left="0"/>
              <w:jc w:val="left"/>
            </w:pPr>
            <w:r>
              <w:rPr>
                <w:rFonts w:ascii="宋体" w:hAnsi="Times New Roman" w:eastAsia="宋体"/>
                <w:b w:val="false"/>
                <w:i w:val="false"/>
                <w:color w:val="000000"/>
                <w:sz w:val="22"/>
              </w:rPr>
              <w:t>—</w:t>
            </w:r>
          </w:p>
          <w:bookmarkEnd w:id="133"/>
        </w:tc>
        <w:tc>
          <w:tcPr>
            <w:tcW w:w="308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0ed6f9f" w:id="134"/>
          <w:p>
            <w:pPr>
              <w:spacing w:after="50" w:line="360" w:lineRule="auto" w:beforeLines="100"/>
              <w:ind w:left="0"/>
              <w:jc w:val="left"/>
            </w:pPr>
            <w:r>
              <w:rPr>
                <w:rFonts w:ascii="宋体" w:hAnsi="Times New Roman" w:eastAsia="宋体"/>
                <w:b w:val="false"/>
                <w:i w:val="false"/>
                <w:color w:val="000000"/>
                <w:sz w:val="22"/>
              </w:rPr>
              <w:t>DL/T 645-2007/1997/DL/T 698.45 · 5m/±15°</w:t>
            </w:r>
          </w:p>
          <w:bookmarkEnd w:id="134"/>
        </w:tc>
        <w:tc>
          <w:tcPr>
            <w:tcW w:w="256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ab33a9d" w:id="135"/>
          <w:p>
            <w:pPr>
              <w:spacing w:after="50" w:line="360" w:lineRule="auto" w:beforeLines="100"/>
              <w:ind w:left="0"/>
              <w:jc w:val="left"/>
            </w:pPr>
            <w:r>
              <w:rPr>
                <w:rFonts w:ascii="宋体" w:hAnsi="Times New Roman" w:eastAsia="宋体"/>
                <w:b w:val="false"/>
                <w:i w:val="false"/>
                <w:color w:val="000000"/>
                <w:sz w:val="22"/>
              </w:rPr>
              <w:t>NB-IoT</w:t>
            </w:r>
          </w:p>
          <w:bookmarkEnd w:id="135"/>
        </w:tc>
        <w:tc>
          <w:tcPr>
            <w:tcW w:w="265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0e2af80" w:id="136"/>
          <w:p>
            <w:pPr>
              <w:spacing w:after="50" w:line="360" w:lineRule="auto" w:beforeLines="100"/>
              <w:ind w:left="0"/>
              <w:jc w:val="left"/>
            </w:pPr>
            <w:r>
              <w:rPr>
                <w:rFonts w:ascii="宋体" w:hAnsi="Times New Roman" w:eastAsia="宋体"/>
                <w:b w:val="false"/>
                <w:i w:val="false"/>
                <w:color w:val="000000"/>
                <w:sz w:val="22"/>
              </w:rPr>
              <w:t>内置锂电池 ≥3 年</w:t>
            </w:r>
          </w:p>
          <w:bookmarkEnd w:id="136"/>
        </w:tc>
      </w:tr>
      <w:tr>
        <w:trPr>
          <w:trHeight w:val="495" w:hRule="atLeast"/>
        </w:trPr>
        <w:tc>
          <w:tcPr>
            <w:tcW w:w="245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6028248" w:id="137"/>
          <w:p>
            <w:pPr>
              <w:spacing w:after="50" w:line="360" w:lineRule="auto" w:beforeLines="100"/>
              <w:ind w:left="0"/>
              <w:jc w:val="left"/>
            </w:pPr>
            <w:r>
              <w:rPr>
                <w:rFonts w:ascii="宋体" w:hAnsi="Times New Roman" w:eastAsia="宋体"/>
                <w:b w:val="false"/>
                <w:i w:val="false"/>
                <w:color w:val="000000"/>
                <w:sz w:val="22"/>
              </w:rPr>
              <w:t>电流智能检测仪</w:t>
            </w:r>
          </w:p>
          <w:bookmarkEnd w:id="137"/>
        </w:tc>
        <w:tc>
          <w:tcPr>
            <w:tcW w:w="287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452d24d" w:id="138"/>
          <w:p>
            <w:pPr>
              <w:spacing w:after="50" w:line="360" w:lineRule="auto" w:beforeLines="100"/>
              <w:ind w:left="0"/>
              <w:jc w:val="left"/>
            </w:pPr>
            <w:r>
              <w:rPr>
                <w:rFonts w:ascii="宋体" w:hAnsi="Times New Roman" w:eastAsia="宋体"/>
                <w:b w:val="false"/>
                <w:i w:val="false"/>
                <w:color w:val="000000"/>
                <w:sz w:val="22"/>
              </w:rPr>
              <w:t>—</w:t>
            </w:r>
          </w:p>
          <w:bookmarkEnd w:id="138"/>
        </w:tc>
        <w:tc>
          <w:tcPr>
            <w:tcW w:w="308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3b95c66" w:id="139"/>
          <w:p>
            <w:pPr>
              <w:spacing w:after="50" w:line="360" w:lineRule="auto" w:beforeLines="100"/>
              <w:ind w:left="0"/>
              <w:jc w:val="left"/>
            </w:pPr>
            <w:r>
              <w:rPr>
                <w:rFonts w:ascii="宋体" w:hAnsi="Times New Roman" w:eastAsia="宋体"/>
                <w:b w:val="false"/>
                <w:i w:val="false"/>
                <w:color w:val="000000"/>
                <w:sz w:val="22"/>
              </w:rPr>
              <w:t>0~100A · ±1% F.S. · ≤10mA 分辨率</w:t>
            </w:r>
          </w:p>
          <w:bookmarkEnd w:id="139"/>
        </w:tc>
        <w:tc>
          <w:tcPr>
            <w:tcW w:w="256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95a3960" w:id="140"/>
          <w:p>
            <w:pPr>
              <w:spacing w:after="50" w:line="360" w:lineRule="auto" w:beforeLines="100"/>
              <w:ind w:left="0"/>
              <w:jc w:val="left"/>
            </w:pPr>
            <w:r>
              <w:rPr>
                <w:rFonts w:ascii="宋体" w:hAnsi="Times New Roman" w:eastAsia="宋体"/>
                <w:b w:val="false"/>
                <w:i w:val="false"/>
                <w:color w:val="000000"/>
                <w:sz w:val="22"/>
              </w:rPr>
              <w:t>NB-IoT</w:t>
            </w:r>
          </w:p>
          <w:bookmarkEnd w:id="140"/>
        </w:tc>
        <w:tc>
          <w:tcPr>
            <w:tcW w:w="265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e959165" w:id="141"/>
          <w:p>
            <w:pPr>
              <w:spacing w:after="50" w:line="360" w:lineRule="auto" w:beforeLines="100"/>
              <w:ind w:left="0"/>
              <w:jc w:val="left"/>
            </w:pPr>
            <w:r>
              <w:rPr>
                <w:rFonts w:ascii="宋体" w:hAnsi="Times New Roman" w:eastAsia="宋体"/>
                <w:b w:val="false"/>
                <w:i w:val="false"/>
                <w:color w:val="000000"/>
                <w:sz w:val="22"/>
              </w:rPr>
              <w:t>AC 100~240V 设备取电</w:t>
            </w:r>
          </w:p>
          <w:bookmarkEnd w:id="141"/>
        </w:tc>
      </w:tr>
      <w:tr>
        <w:trPr>
          <w:trHeight w:val="495" w:hRule="atLeast"/>
        </w:trPr>
        <w:tc>
          <w:tcPr>
            <w:tcW w:w="245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c4aede6" w:id="142"/>
          <w:p>
            <w:pPr>
              <w:spacing w:after="50" w:line="360" w:lineRule="auto" w:beforeLines="100"/>
              <w:ind w:left="0"/>
              <w:jc w:val="left"/>
            </w:pPr>
            <w:r>
              <w:rPr>
                <w:rFonts w:ascii="宋体" w:hAnsi="Times New Roman" w:eastAsia="宋体"/>
                <w:b w:val="false"/>
                <w:i w:val="false"/>
                <w:color w:val="000000"/>
                <w:sz w:val="22"/>
              </w:rPr>
              <w:t>4G 工业通信网关</w:t>
            </w:r>
          </w:p>
          <w:bookmarkEnd w:id="142"/>
        </w:tc>
        <w:tc>
          <w:tcPr>
            <w:tcW w:w="287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e059a99" w:id="143"/>
          <w:p>
            <w:pPr>
              <w:spacing w:after="50" w:line="360" w:lineRule="auto" w:beforeLines="100"/>
              <w:ind w:left="0"/>
              <w:jc w:val="left"/>
            </w:pPr>
            <w:r>
              <w:rPr>
                <w:rFonts w:ascii="宋体" w:hAnsi="Times New Roman" w:eastAsia="宋体"/>
                <w:b w:val="false"/>
                <w:i w:val="false"/>
                <w:color w:val="000000"/>
                <w:sz w:val="22"/>
              </w:rPr>
              <w:t>—</w:t>
            </w:r>
          </w:p>
          <w:bookmarkEnd w:id="143"/>
        </w:tc>
        <w:tc>
          <w:tcPr>
            <w:tcW w:w="308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5ea09ba" w:id="144"/>
          <w:p>
            <w:pPr>
              <w:spacing w:after="50" w:line="360" w:lineRule="auto" w:beforeLines="100"/>
              <w:ind w:left="0"/>
              <w:jc w:val="left"/>
            </w:pPr>
            <w:r>
              <w:rPr>
                <w:rFonts w:ascii="宋体" w:hAnsi="Times New Roman" w:eastAsia="宋体"/>
                <w:b w:val="false"/>
                <w:i w:val="false"/>
                <w:color w:val="000000"/>
                <w:sz w:val="22"/>
              </w:rPr>
              <w:t>RS232×1 + RS485×2 + 以太网×1</w:t>
            </w:r>
          </w:p>
          <w:bookmarkEnd w:id="144"/>
        </w:tc>
        <w:tc>
          <w:tcPr>
            <w:tcW w:w="256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ad8cbc3" w:id="145"/>
          <w:p>
            <w:pPr>
              <w:spacing w:after="50" w:line="360" w:lineRule="auto" w:beforeLines="100"/>
              <w:ind w:left="0"/>
              <w:jc w:val="left"/>
            </w:pPr>
            <w:r>
              <w:rPr>
                <w:rFonts w:ascii="宋体" w:hAnsi="Times New Roman" w:eastAsia="宋体"/>
                <w:b w:val="false"/>
                <w:i w:val="false"/>
                <w:color w:val="000000"/>
                <w:sz w:val="22"/>
              </w:rPr>
              <w:t>4G + WiFi + 以太网</w:t>
            </w:r>
          </w:p>
          <w:bookmarkEnd w:id="145"/>
        </w:tc>
        <w:tc>
          <w:tcPr>
            <w:tcW w:w="265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f71c9e9" w:id="146"/>
          <w:p>
            <w:pPr>
              <w:spacing w:after="50" w:line="360" w:lineRule="auto" w:beforeLines="100"/>
              <w:ind w:left="0"/>
              <w:jc w:val="left"/>
            </w:pPr>
            <w:r>
              <w:rPr>
                <w:rFonts w:ascii="宋体" w:hAnsi="Times New Roman" w:eastAsia="宋体"/>
                <w:b w:val="false"/>
                <w:i w:val="false"/>
                <w:color w:val="000000"/>
                <w:sz w:val="22"/>
              </w:rPr>
              <w:t>DC 9~36V</w:t>
            </w:r>
          </w:p>
          <w:bookmarkEnd w:id="146"/>
        </w:tc>
      </w:tr>
    </w:tbl>
    <w:bookmarkEnd w:id="121"/>
    <w:bookmarkStart w:name="UelVL" w:id="147"/>
    <w:p>
      <w:pPr>
        <w:spacing w:line="360" w:lineRule="auto" w:beforeLines="100" w:after="50"/>
        <w:ind w:left="0"/>
      </w:pPr>
      <w:r>
        <w:rPr>
          <w:rFonts w:eastAsia="宋体" w:ascii="宋体"/>
        </w:rPr>
        <w:pict>
          <v:rect style="width:0;height:1.5pt" id="_x0000_i1025" o:hr="t" o:hrstd="t" o:hralign="center" stroked="f" fillcolor="#a0a0a0"/>
        </w:pict>
      </w:r>
    </w:p>
    <w:bookmarkEnd w:id="147"/>
    <w:bookmarkStart w:name="gHzq5" w:id="148"/>
    <w:p>
      <w:pPr>
        <w:pStyle w:val="Heading2"/>
        <w:spacing w:after="50" w:line="360" w:lineRule="auto" w:beforeLines="100"/>
        <w:ind w:left="0"/>
        <w:jc w:val="left"/>
      </w:pPr>
      <w:r>
        <w:rPr>
          <w:rFonts w:ascii="宋体" w:hAnsi="Times New Roman" w:eastAsia="宋体"/>
        </w:rPr>
        <w:t>Q10：系统平台有哪些核心功能？</w:t>
      </w:r>
    </w:p>
    <w:bookmarkEnd w:id="148"/>
    <w:bookmarkStart w:name="ucef8b8e3" w:id="149"/>
    <w:p>
      <w:pPr>
        <w:spacing w:after="50" w:line="360" w:lineRule="auto" w:beforeLines="100"/>
        <w:ind w:left="0"/>
        <w:jc w:val="left"/>
      </w:pPr>
      <w:r>
        <w:rPr>
          <w:rFonts w:ascii="宋体" w:hAnsi="Times New Roman" w:eastAsia="宋体"/>
          <w:b w:val="false"/>
          <w:i w:val="false"/>
          <w:color w:val="000000"/>
          <w:sz w:val="22"/>
        </w:rPr>
        <w:t>平台采用云原生微服务架构，支持私有云和混合云部署。核心功能分为四个维度：实时监控——以地理信息地图标注全部监测点位，用颜色区分正常、预警和故障状态，单点位下钻查看设备实时运行参数和历史曲线；能耗分析——按场景、按区域、按设备类型统计能耗和碳排放数据，支持日、周、月、年多维度对比和同比环比分析；智能告警——设备离线、参数越限、能耗异常自动分级推送，支持短信、APP、平台弹窗三种通知方式；报表与碳核算——按 ISO 14064 标准自动生成碳排放报告，区分 Scope 1 和 Scope 2 排放，支持 PDF 和 Excel 导出，可定时自动推送至管理人员邮箱。</w:t>
      </w:r>
    </w:p>
    <w:bookmarkEnd w:id="149"/>
    <w:bookmarkStart w:name="uada747b5" w:id="150"/>
    <w:p>
      <w:pPr>
        <w:spacing w:after="50" w:line="360" w:lineRule="auto" w:beforeLines="100"/>
        <w:ind w:left="0"/>
        <w:jc w:val="left"/>
      </w:pPr>
      <w:r>
        <w:rPr>
          <w:rFonts w:ascii="宋体" w:hAnsi="Times New Roman" w:eastAsia="宋体"/>
          <w:b w:val="false"/>
          <w:i w:val="false"/>
          <w:color w:val="000000"/>
          <w:sz w:val="22"/>
        </w:rPr>
        <w:t>数据中台层面，系统采用时序数据库存储高频采集数据、关系型数据库存储设备台账和业务数据，通过实时流计算引擎输出能耗指标和异常告警，通过离线批处理引擎生成日报、月报和年报。标准化 RESTful API 接口支持向政府监管平台、集团 ERP 系统和第三方能源管理平台推送数据。</w:t>
      </w:r>
    </w:p>
    <w:bookmarkEnd w:id="150"/>
    <w:bookmarkStart w:name="qXvi3" w:id="151"/>
    <w:p>
      <w:pPr>
        <w:spacing w:line="360" w:lineRule="auto" w:beforeLines="100" w:after="50"/>
        <w:ind w:left="0"/>
      </w:pPr>
      <w:r>
        <w:rPr>
          <w:rFonts w:eastAsia="宋体" w:ascii="宋体"/>
        </w:rPr>
        <w:pict>
          <v:rect style="width:0;height:1.5pt" id="_x0000_i1025" o:hr="t" o:hrstd="t" o:hralign="center" stroked="f" fillcolor="#a0a0a0"/>
        </w:pict>
      </w:r>
    </w:p>
    <w:bookmarkEnd w:id="151"/>
    <w:bookmarkStart w:name="ad88Z" w:id="152"/>
    <w:p>
      <w:pPr>
        <w:pStyle w:val="Heading2"/>
        <w:spacing w:after="50" w:line="360" w:lineRule="auto" w:beforeLines="100"/>
        <w:ind w:left="0"/>
        <w:jc w:val="left"/>
      </w:pPr>
      <w:r>
        <w:rPr>
          <w:rFonts w:ascii="宋体" w:hAnsi="Times New Roman" w:eastAsia="宋体"/>
        </w:rPr>
        <w:t>Q11：供暖场景的节能效果有数据验证吗？</w:t>
      </w:r>
    </w:p>
    <w:bookmarkEnd w:id="152"/>
    <w:bookmarkStart w:name="u24ab29df" w:id="153"/>
    <w:p>
      <w:pPr>
        <w:spacing w:after="50" w:line="360" w:lineRule="auto" w:beforeLines="100"/>
        <w:ind w:left="0"/>
        <w:jc w:val="left"/>
      </w:pPr>
      <w:r>
        <w:rPr>
          <w:rFonts w:ascii="宋体" w:hAnsi="Times New Roman" w:eastAsia="宋体"/>
          <w:b w:val="false"/>
          <w:i w:val="false"/>
          <w:color w:val="000000"/>
          <w:sz w:val="22"/>
        </w:rPr>
        <w:t>以一个北方城市的典型供热片区为例。该片区覆盖 6 个小区约 45 万平方米供热面积，设有 12 座换热站。部署 PLC 数据采集网关和热量表后，实现了每座换热站的供回水温度、流量、压力和供热量数据的实时在线采集。</w:t>
      </w:r>
    </w:p>
    <w:bookmarkEnd w:id="153"/>
    <w:bookmarkStart w:name="u3f7a84a3" w:id="154"/>
    <w:p>
      <w:pPr>
        <w:spacing w:after="50" w:line="360" w:lineRule="auto" w:beforeLines="100"/>
        <w:ind w:left="0"/>
        <w:jc w:val="left"/>
      </w:pPr>
      <w:r>
        <w:rPr>
          <w:rFonts w:ascii="宋体" w:hAnsi="Times New Roman" w:eastAsia="宋体"/>
          <w:b w:val="false"/>
          <w:i w:val="false"/>
          <w:color w:val="000000"/>
          <w:sz w:val="22"/>
        </w:rPr>
        <w:t>运行一个完整供热季后，数据揭示了三个关键问题：有两座换热站的单位面积热耗明显高于片区平均值——一座是因为二次管网老化导致散热损失过大，另一座是因为循环泵选型偏大导致电耗虚高；有四个小区的回水温度超标——说明管网水力失衡，部分楼栋供水不足、部分楼栋超量供热，热力公司为此额外多烧了约 8% 的煤；室外温度与供水温度的响应滞后了一个小时——换热站在室外温度骤降后没有及时提高供水温度，导致近端用户投诉室内温度下降。</w:t>
      </w:r>
    </w:p>
    <w:bookmarkEnd w:id="154"/>
    <w:bookmarkStart w:name="u1c3fc9d4" w:id="155"/>
    <w:p>
      <w:pPr>
        <w:spacing w:after="50" w:line="360" w:lineRule="auto" w:beforeLines="100"/>
        <w:ind w:left="0"/>
        <w:jc w:val="left"/>
      </w:pPr>
      <w:r>
        <w:rPr>
          <w:rFonts w:ascii="宋体" w:hAnsi="Times New Roman" w:eastAsia="宋体"/>
          <w:b w:val="false"/>
          <w:i w:val="false"/>
          <w:color w:val="000000"/>
          <w:sz w:val="22"/>
        </w:rPr>
        <w:t>针对这些问题，热力公司在下一个供热季前完成了管网堵漏和循环泵变频改造，并在平台上部署了天气自适应调控策略。次年供热季的数据显示——单位面积热耗降低了 15%，回水温度合格率从 72% 提升至 93%，用户投诉量下降 62%，一个供热季节约燃煤约 1,800 吨，碳减排约 3,800 吨。</w:t>
      </w:r>
    </w:p>
    <w:bookmarkEnd w:id="155"/>
    <w:bookmarkStart w:name="HVbgv" w:id="156"/>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3335"/>
        <w:gridCol w:w="3434"/>
        <w:gridCol w:w="3434"/>
        <w:gridCol w:w="3431"/>
      </w:tblGrid>
      <w:tr>
        <w:trPr>
          <w:trHeight w:val="495" w:hRule="atLeast"/>
        </w:trPr>
        <w:tc>
          <w:tcPr>
            <w:tcW w:w="333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f92d2d0" w:id="157"/>
          <w:p>
            <w:pPr>
              <w:spacing w:after="50" w:line="360" w:lineRule="auto" w:beforeLines="100"/>
              <w:ind w:left="0"/>
              <w:jc w:val="left"/>
            </w:pPr>
            <w:r>
              <w:rPr>
                <w:rFonts w:ascii="宋体" w:hAnsi="Times New Roman" w:eastAsia="宋体"/>
                <w:b w:val="false"/>
                <w:i w:val="false"/>
                <w:color w:val="000000"/>
                <w:sz w:val="22"/>
              </w:rPr>
              <w:t>指标</w:t>
            </w:r>
          </w:p>
          <w:bookmarkEnd w:id="157"/>
        </w:tc>
        <w:tc>
          <w:tcPr>
            <w:tcW w:w="343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7b91645" w:id="158"/>
          <w:p>
            <w:pPr>
              <w:spacing w:after="50" w:line="360" w:lineRule="auto" w:beforeLines="100"/>
              <w:ind w:left="0"/>
              <w:jc w:val="left"/>
            </w:pPr>
            <w:r>
              <w:rPr>
                <w:rFonts w:ascii="宋体" w:hAnsi="Times New Roman" w:eastAsia="宋体"/>
                <w:b w:val="false"/>
                <w:i w:val="false"/>
                <w:color w:val="000000"/>
                <w:sz w:val="22"/>
              </w:rPr>
              <w:t>改造前</w:t>
            </w:r>
          </w:p>
          <w:bookmarkEnd w:id="158"/>
        </w:tc>
        <w:tc>
          <w:tcPr>
            <w:tcW w:w="343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abb7674" w:id="159"/>
          <w:p>
            <w:pPr>
              <w:spacing w:after="50" w:line="360" w:lineRule="auto" w:beforeLines="100"/>
              <w:ind w:left="0"/>
              <w:jc w:val="left"/>
            </w:pPr>
            <w:r>
              <w:rPr>
                <w:rFonts w:ascii="宋体" w:hAnsi="Times New Roman" w:eastAsia="宋体"/>
                <w:b w:val="false"/>
                <w:i w:val="false"/>
                <w:color w:val="000000"/>
                <w:sz w:val="22"/>
              </w:rPr>
              <w:t>改造后</w:t>
            </w:r>
          </w:p>
          <w:bookmarkEnd w:id="159"/>
        </w:tc>
        <w:tc>
          <w:tcPr>
            <w:tcW w:w="343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a8cf354" w:id="160"/>
          <w:p>
            <w:pPr>
              <w:spacing w:after="50" w:line="360" w:lineRule="auto" w:beforeLines="100"/>
              <w:ind w:left="0"/>
              <w:jc w:val="center"/>
            </w:pPr>
            <w:r>
              <w:rPr>
                <w:rFonts w:ascii="宋体" w:hAnsi="Times New Roman" w:eastAsia="宋体"/>
                <w:b w:val="false"/>
                <w:i w:val="false"/>
                <w:color w:val="000000"/>
                <w:sz w:val="22"/>
              </w:rPr>
              <w:t>变化</w:t>
            </w:r>
          </w:p>
          <w:bookmarkEnd w:id="160"/>
        </w:tc>
      </w:tr>
      <w:tr>
        <w:trPr>
          <w:trHeight w:val="495" w:hRule="atLeast"/>
        </w:trPr>
        <w:tc>
          <w:tcPr>
            <w:tcW w:w="333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2b3c54b" w:id="161"/>
          <w:p>
            <w:pPr>
              <w:spacing w:after="50" w:line="360" w:lineRule="auto" w:beforeLines="100"/>
              <w:ind w:left="0"/>
              <w:jc w:val="left"/>
            </w:pPr>
            <w:r>
              <w:rPr>
                <w:rFonts w:ascii="宋体" w:hAnsi="Times New Roman" w:eastAsia="宋体"/>
                <w:b w:val="false"/>
                <w:i w:val="false"/>
                <w:color w:val="000000"/>
                <w:sz w:val="22"/>
              </w:rPr>
              <w:t>单位面积热耗</w:t>
            </w:r>
          </w:p>
          <w:bookmarkEnd w:id="161"/>
        </w:tc>
        <w:tc>
          <w:tcPr>
            <w:tcW w:w="343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bae5e5e" w:id="162"/>
          <w:p>
            <w:pPr>
              <w:spacing w:after="50" w:line="360" w:lineRule="auto" w:beforeLines="100"/>
              <w:ind w:left="0"/>
              <w:jc w:val="left"/>
            </w:pPr>
            <w:r>
              <w:rPr>
                <w:rFonts w:ascii="宋体" w:hAnsi="Times New Roman" w:eastAsia="宋体"/>
                <w:b w:val="false"/>
                <w:i w:val="false"/>
                <w:color w:val="000000"/>
                <w:sz w:val="22"/>
              </w:rPr>
              <w:t>0.41 GJ/m²</w:t>
            </w:r>
          </w:p>
          <w:bookmarkEnd w:id="162"/>
        </w:tc>
        <w:tc>
          <w:tcPr>
            <w:tcW w:w="343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2a97e85" w:id="163"/>
          <w:p>
            <w:pPr>
              <w:spacing w:after="50" w:line="360" w:lineRule="auto" w:beforeLines="100"/>
              <w:ind w:left="0"/>
              <w:jc w:val="left"/>
            </w:pPr>
            <w:r>
              <w:rPr>
                <w:rFonts w:ascii="宋体" w:hAnsi="Times New Roman" w:eastAsia="宋体"/>
                <w:b w:val="false"/>
                <w:i w:val="false"/>
                <w:color w:val="000000"/>
                <w:sz w:val="22"/>
              </w:rPr>
              <w:t>0.35 GJ/m²</w:t>
            </w:r>
          </w:p>
          <w:bookmarkEnd w:id="163"/>
        </w:tc>
        <w:tc>
          <w:tcPr>
            <w:tcW w:w="343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d2367a1" w:id="164"/>
          <w:p>
            <w:pPr>
              <w:spacing w:after="50" w:line="360" w:lineRule="auto" w:beforeLines="100"/>
              <w:ind w:left="0"/>
              <w:jc w:val="center"/>
            </w:pPr>
            <w:r>
              <w:rPr>
                <w:rFonts w:ascii="宋体" w:hAnsi="Times New Roman" w:eastAsia="宋体"/>
                <w:b w:val="false"/>
                <w:i w:val="false"/>
                <w:color w:val="000000"/>
                <w:sz w:val="22"/>
              </w:rPr>
              <w:t>-15%</w:t>
            </w:r>
          </w:p>
          <w:bookmarkEnd w:id="164"/>
        </w:tc>
      </w:tr>
      <w:tr>
        <w:trPr>
          <w:trHeight w:val="495" w:hRule="atLeast"/>
        </w:trPr>
        <w:tc>
          <w:tcPr>
            <w:tcW w:w="333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598a987" w:id="165"/>
          <w:p>
            <w:pPr>
              <w:spacing w:after="50" w:line="360" w:lineRule="auto" w:beforeLines="100"/>
              <w:ind w:left="0"/>
              <w:jc w:val="left"/>
            </w:pPr>
            <w:r>
              <w:rPr>
                <w:rFonts w:ascii="宋体" w:hAnsi="Times New Roman" w:eastAsia="宋体"/>
                <w:b w:val="false"/>
                <w:i w:val="false"/>
                <w:color w:val="000000"/>
                <w:sz w:val="22"/>
              </w:rPr>
              <w:t>回水温度合格率</w:t>
            </w:r>
          </w:p>
          <w:bookmarkEnd w:id="165"/>
        </w:tc>
        <w:tc>
          <w:tcPr>
            <w:tcW w:w="343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195f583" w:id="166"/>
          <w:p>
            <w:pPr>
              <w:spacing w:after="50" w:line="360" w:lineRule="auto" w:beforeLines="100"/>
              <w:ind w:left="0"/>
              <w:jc w:val="left"/>
            </w:pPr>
            <w:r>
              <w:rPr>
                <w:rFonts w:ascii="宋体" w:hAnsi="Times New Roman" w:eastAsia="宋体"/>
                <w:b w:val="false"/>
                <w:i w:val="false"/>
                <w:color w:val="000000"/>
                <w:sz w:val="22"/>
              </w:rPr>
              <w:t>72%</w:t>
            </w:r>
          </w:p>
          <w:bookmarkEnd w:id="166"/>
        </w:tc>
        <w:tc>
          <w:tcPr>
            <w:tcW w:w="343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c1e45dd" w:id="167"/>
          <w:p>
            <w:pPr>
              <w:spacing w:after="50" w:line="360" w:lineRule="auto" w:beforeLines="100"/>
              <w:ind w:left="0"/>
              <w:jc w:val="left"/>
            </w:pPr>
            <w:r>
              <w:rPr>
                <w:rFonts w:ascii="宋体" w:hAnsi="Times New Roman" w:eastAsia="宋体"/>
                <w:b w:val="false"/>
                <w:i w:val="false"/>
                <w:color w:val="000000"/>
                <w:sz w:val="22"/>
              </w:rPr>
              <w:t>93%</w:t>
            </w:r>
          </w:p>
          <w:bookmarkEnd w:id="167"/>
        </w:tc>
        <w:tc>
          <w:tcPr>
            <w:tcW w:w="343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d234cd1" w:id="168"/>
          <w:p>
            <w:pPr>
              <w:spacing w:after="50" w:line="360" w:lineRule="auto" w:beforeLines="100"/>
              <w:ind w:left="0"/>
              <w:jc w:val="center"/>
            </w:pPr>
            <w:r>
              <w:rPr>
                <w:rFonts w:ascii="宋体" w:hAnsi="Times New Roman" w:eastAsia="宋体"/>
                <w:b w:val="false"/>
                <w:i w:val="false"/>
                <w:color w:val="000000"/>
                <w:sz w:val="22"/>
              </w:rPr>
              <w:t>+21%</w:t>
            </w:r>
          </w:p>
          <w:bookmarkEnd w:id="168"/>
        </w:tc>
      </w:tr>
      <w:tr>
        <w:trPr>
          <w:trHeight w:val="495" w:hRule="atLeast"/>
        </w:trPr>
        <w:tc>
          <w:tcPr>
            <w:tcW w:w="333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6dba1ed" w:id="169"/>
          <w:p>
            <w:pPr>
              <w:spacing w:after="50" w:line="360" w:lineRule="auto" w:beforeLines="100"/>
              <w:ind w:left="0"/>
              <w:jc w:val="left"/>
            </w:pPr>
            <w:r>
              <w:rPr>
                <w:rFonts w:ascii="宋体" w:hAnsi="Times New Roman" w:eastAsia="宋体"/>
                <w:b w:val="false"/>
                <w:i w:val="false"/>
                <w:color w:val="000000"/>
                <w:sz w:val="22"/>
              </w:rPr>
              <w:t>用户投诉量</w:t>
            </w:r>
          </w:p>
          <w:bookmarkEnd w:id="169"/>
        </w:tc>
        <w:tc>
          <w:tcPr>
            <w:tcW w:w="343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65ae83f" w:id="170"/>
          <w:p>
            <w:pPr>
              <w:spacing w:after="50" w:line="360" w:lineRule="auto" w:beforeLines="100"/>
              <w:ind w:left="0"/>
              <w:jc w:val="left"/>
            </w:pPr>
            <w:r>
              <w:rPr>
                <w:rFonts w:ascii="宋体" w:hAnsi="Times New Roman" w:eastAsia="宋体"/>
                <w:b w:val="false"/>
                <w:i w:val="false"/>
                <w:color w:val="000000"/>
                <w:sz w:val="22"/>
              </w:rPr>
              <w:t>全年 215 件</w:t>
            </w:r>
          </w:p>
          <w:bookmarkEnd w:id="170"/>
        </w:tc>
        <w:tc>
          <w:tcPr>
            <w:tcW w:w="343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e8e8c9b" w:id="171"/>
          <w:p>
            <w:pPr>
              <w:spacing w:after="50" w:line="360" w:lineRule="auto" w:beforeLines="100"/>
              <w:ind w:left="0"/>
              <w:jc w:val="left"/>
            </w:pPr>
            <w:r>
              <w:rPr>
                <w:rFonts w:ascii="宋体" w:hAnsi="Times New Roman" w:eastAsia="宋体"/>
                <w:b w:val="false"/>
                <w:i w:val="false"/>
                <w:color w:val="000000"/>
                <w:sz w:val="22"/>
              </w:rPr>
              <w:t>全年 82 件</w:t>
            </w:r>
          </w:p>
          <w:bookmarkEnd w:id="171"/>
        </w:tc>
        <w:tc>
          <w:tcPr>
            <w:tcW w:w="343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9826d0d" w:id="172"/>
          <w:p>
            <w:pPr>
              <w:spacing w:after="50" w:line="360" w:lineRule="auto" w:beforeLines="100"/>
              <w:ind w:left="0"/>
              <w:jc w:val="center"/>
            </w:pPr>
            <w:r>
              <w:rPr>
                <w:rFonts w:ascii="宋体" w:hAnsi="Times New Roman" w:eastAsia="宋体"/>
                <w:b w:val="false"/>
                <w:i w:val="false"/>
                <w:color w:val="000000"/>
                <w:sz w:val="22"/>
              </w:rPr>
              <w:t>-62%</w:t>
            </w:r>
          </w:p>
          <w:bookmarkEnd w:id="172"/>
        </w:tc>
      </w:tr>
      <w:tr>
        <w:trPr>
          <w:trHeight w:val="495" w:hRule="atLeast"/>
        </w:trPr>
        <w:tc>
          <w:tcPr>
            <w:tcW w:w="333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3ebc370" w:id="173"/>
          <w:p>
            <w:pPr>
              <w:spacing w:after="50" w:line="360" w:lineRule="auto" w:beforeLines="100"/>
              <w:ind w:left="0"/>
              <w:jc w:val="left"/>
            </w:pPr>
            <w:r>
              <w:rPr>
                <w:rFonts w:ascii="宋体" w:hAnsi="Times New Roman" w:eastAsia="宋体"/>
                <w:b w:val="false"/>
                <w:i w:val="false"/>
                <w:color w:val="000000"/>
                <w:sz w:val="22"/>
              </w:rPr>
              <w:t>单季节煤量</w:t>
            </w:r>
          </w:p>
          <w:bookmarkEnd w:id="173"/>
        </w:tc>
        <w:tc>
          <w:tcPr>
            <w:tcW w:w="343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728e72d" w:id="174"/>
          <w:p>
            <w:pPr>
              <w:spacing w:after="50" w:line="360" w:lineRule="auto" w:beforeLines="100"/>
              <w:ind w:left="0"/>
              <w:jc w:val="left"/>
            </w:pPr>
            <w:r>
              <w:rPr>
                <w:rFonts w:ascii="宋体" w:hAnsi="Times New Roman" w:eastAsia="宋体"/>
                <w:b w:val="false"/>
                <w:i w:val="false"/>
                <w:color w:val="000000"/>
                <w:sz w:val="22"/>
              </w:rPr>
              <w:t>—</w:t>
            </w:r>
          </w:p>
          <w:bookmarkEnd w:id="174"/>
        </w:tc>
        <w:tc>
          <w:tcPr>
            <w:tcW w:w="343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9a203ae" w:id="175"/>
          <w:p>
            <w:pPr>
              <w:spacing w:after="50" w:line="360" w:lineRule="auto" w:beforeLines="100"/>
              <w:ind w:left="0"/>
              <w:jc w:val="left"/>
            </w:pPr>
            <w:r>
              <w:rPr>
                <w:rFonts w:ascii="宋体" w:hAnsi="Times New Roman" w:eastAsia="宋体"/>
                <w:b w:val="false"/>
                <w:i w:val="false"/>
                <w:color w:val="000000"/>
                <w:sz w:val="22"/>
              </w:rPr>
              <w:t>1,800 吨</w:t>
            </w:r>
          </w:p>
          <w:bookmarkEnd w:id="175"/>
        </w:tc>
        <w:tc>
          <w:tcPr>
            <w:tcW w:w="343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4fe0e7b" w:id="176"/>
          <w:p>
            <w:pPr>
              <w:spacing w:after="50" w:line="360" w:lineRule="auto" w:beforeLines="100"/>
              <w:ind w:left="0"/>
              <w:jc w:val="center"/>
            </w:pPr>
            <w:r>
              <w:rPr>
                <w:rFonts w:ascii="宋体" w:hAnsi="Times New Roman" w:eastAsia="宋体"/>
                <w:b w:val="false"/>
                <w:i w:val="false"/>
                <w:color w:val="000000"/>
                <w:sz w:val="22"/>
              </w:rPr>
              <w:t>新增</w:t>
            </w:r>
          </w:p>
          <w:bookmarkEnd w:id="176"/>
        </w:tc>
      </w:tr>
      <w:tr>
        <w:trPr>
          <w:trHeight w:val="495" w:hRule="atLeast"/>
        </w:trPr>
        <w:tc>
          <w:tcPr>
            <w:tcW w:w="333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14717d2" w:id="177"/>
          <w:p>
            <w:pPr>
              <w:spacing w:after="50" w:line="360" w:lineRule="auto" w:beforeLines="100"/>
              <w:ind w:left="0"/>
              <w:jc w:val="left"/>
            </w:pPr>
            <w:r>
              <w:rPr>
                <w:rFonts w:ascii="宋体" w:hAnsi="Times New Roman" w:eastAsia="宋体"/>
                <w:b w:val="false"/>
                <w:i w:val="false"/>
                <w:color w:val="000000"/>
                <w:sz w:val="22"/>
              </w:rPr>
              <w:t>碳减排</w:t>
            </w:r>
          </w:p>
          <w:bookmarkEnd w:id="177"/>
        </w:tc>
        <w:tc>
          <w:tcPr>
            <w:tcW w:w="343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a330074" w:id="178"/>
          <w:p>
            <w:pPr>
              <w:spacing w:after="50" w:line="360" w:lineRule="auto" w:beforeLines="100"/>
              <w:ind w:left="0"/>
              <w:jc w:val="left"/>
            </w:pPr>
            <w:r>
              <w:rPr>
                <w:rFonts w:ascii="宋体" w:hAnsi="Times New Roman" w:eastAsia="宋体"/>
                <w:b w:val="false"/>
                <w:i w:val="false"/>
                <w:color w:val="000000"/>
                <w:sz w:val="22"/>
              </w:rPr>
              <w:t>—</w:t>
            </w:r>
          </w:p>
          <w:bookmarkEnd w:id="178"/>
        </w:tc>
        <w:tc>
          <w:tcPr>
            <w:tcW w:w="343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f1f5e2d" w:id="179"/>
          <w:p>
            <w:pPr>
              <w:spacing w:after="50" w:line="360" w:lineRule="auto" w:beforeLines="100"/>
              <w:ind w:left="0"/>
              <w:jc w:val="left"/>
            </w:pPr>
            <w:r>
              <w:rPr>
                <w:rFonts w:ascii="宋体" w:hAnsi="Times New Roman" w:eastAsia="宋体"/>
                <w:b w:val="false"/>
                <w:i w:val="false"/>
                <w:color w:val="000000"/>
                <w:sz w:val="22"/>
              </w:rPr>
              <w:t>3,800 吨 CO₂</w:t>
            </w:r>
          </w:p>
          <w:bookmarkEnd w:id="179"/>
        </w:tc>
        <w:tc>
          <w:tcPr>
            <w:tcW w:w="343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36e270f" w:id="180"/>
          <w:p>
            <w:pPr>
              <w:spacing w:after="50" w:line="360" w:lineRule="auto" w:beforeLines="100"/>
              <w:ind w:left="0"/>
              <w:jc w:val="center"/>
            </w:pPr>
            <w:r>
              <w:rPr>
                <w:rFonts w:ascii="宋体" w:hAnsi="Times New Roman" w:eastAsia="宋体"/>
                <w:b w:val="false"/>
                <w:i w:val="false"/>
                <w:color w:val="000000"/>
                <w:sz w:val="22"/>
              </w:rPr>
              <w:t>新增</w:t>
            </w:r>
          </w:p>
          <w:bookmarkEnd w:id="180"/>
        </w:tc>
      </w:tr>
    </w:tbl>
    <w:bookmarkEnd w:id="156"/>
    <w:bookmarkStart w:name="w6FJA" w:id="181"/>
    <w:p>
      <w:pPr>
        <w:spacing w:line="360" w:lineRule="auto" w:beforeLines="100" w:after="50"/>
        <w:ind w:left="0"/>
      </w:pPr>
      <w:r>
        <w:rPr>
          <w:rFonts w:eastAsia="宋体" w:ascii="宋体"/>
        </w:rPr>
        <w:pict>
          <v:rect style="width:0;height:1.5pt" id="_x0000_i1025" o:hr="t" o:hrstd="t" o:hralign="center" stroked="f" fillcolor="#a0a0a0"/>
        </w:pict>
      </w:r>
    </w:p>
    <w:bookmarkEnd w:id="181"/>
    <w:bookmarkStart w:name="mqOOn" w:id="182"/>
    <w:p>
      <w:pPr>
        <w:pStyle w:val="Heading2"/>
        <w:spacing w:after="50" w:line="360" w:lineRule="auto" w:beforeLines="100"/>
        <w:ind w:left="0"/>
        <w:jc w:val="left"/>
      </w:pPr>
      <w:r>
        <w:rPr>
          <w:rFonts w:ascii="宋体" w:hAnsi="Times New Roman" w:eastAsia="宋体"/>
        </w:rPr>
        <w:t>Q12：泵站场景的节能逻辑是什么？</w:t>
      </w:r>
    </w:p>
    <w:bookmarkEnd w:id="182"/>
    <w:bookmarkStart w:name="ue74daa64" w:id="183"/>
    <w:p>
      <w:pPr>
        <w:spacing w:after="50" w:line="360" w:lineRule="auto" w:beforeLines="100"/>
        <w:ind w:left="0"/>
        <w:jc w:val="left"/>
      </w:pPr>
      <w:r>
        <w:rPr>
          <w:rFonts w:ascii="宋体" w:hAnsi="Times New Roman" w:eastAsia="宋体"/>
          <w:b w:val="false"/>
          <w:i w:val="false"/>
          <w:color w:val="000000"/>
          <w:sz w:val="22"/>
        </w:rPr>
        <w:t>泵站节能不像供暖那样有"减少热损耗"的直观逻辑，它主要体现在三个层面。第一个层面是效率监测——通过吨水电耗指标横向对比全站水泵的能耗效率，精准定位低效泵组。一台叶轮磨损的水泵，效率可能比新泵低 15%~20%，但电流值和出水量看起来和原来差不多，不通过吨水电耗指标根本发现不了。发现后及时维修或更换，投资回收期通常只有三到六个月。</w:t>
      </w:r>
    </w:p>
    <w:bookmarkEnd w:id="183"/>
    <w:bookmarkStart w:name="u05cd4281" w:id="184"/>
    <w:p>
      <w:pPr>
        <w:spacing w:after="50" w:line="360" w:lineRule="auto" w:beforeLines="100"/>
        <w:ind w:left="0"/>
        <w:jc w:val="left"/>
      </w:pPr>
      <w:r>
        <w:rPr>
          <w:rFonts w:ascii="宋体" w:hAnsi="Times New Roman" w:eastAsia="宋体"/>
          <w:b w:val="false"/>
          <w:i w:val="false"/>
          <w:color w:val="000000"/>
          <w:sz w:val="22"/>
        </w:rPr>
        <w:t>第二个层面是峰谷电价调度——在满足供水需求的前提下，把大功率泵的运行时段从电价高峰时段调整到谷电时段。以一台 110kW 的取水泵为例，如果每天有 4 小时的运行时间可以从峰时段（1.2 元/kWh）调整到谷时段（0.3 元/kWh），每天可节省电费约 396 元，全年可节省约 14.5 万元。</w:t>
      </w:r>
    </w:p>
    <w:bookmarkEnd w:id="184"/>
    <w:bookmarkStart w:name="u1c3946a2" w:id="185"/>
    <w:p>
      <w:pPr>
        <w:spacing w:after="50" w:line="360" w:lineRule="auto" w:beforeLines="100"/>
        <w:ind w:left="0"/>
        <w:jc w:val="left"/>
      </w:pPr>
      <w:r>
        <w:rPr>
          <w:rFonts w:ascii="宋体" w:hAnsi="Times New Roman" w:eastAsia="宋体"/>
          <w:b w:val="false"/>
          <w:i w:val="false"/>
          <w:color w:val="000000"/>
          <w:sz w:val="22"/>
        </w:rPr>
        <w:t>第三个层面是管网漏损监测——夜间最小流量是判断管网漏损最有效的指标。正常夜间流量应该接近于零或维持一个很低的稳定值，如果夜间最小流量逐月上升，说明管网在持续漏水。这个信号在传统的人工抄表模式下极难被发现，但平台通过连续采集和趋势分析可以在漏损扩大之前发出预警。</w:t>
      </w:r>
    </w:p>
    <w:bookmarkEnd w:id="185"/>
    <w:bookmarkStart w:name="k2NA0" w:id="186"/>
    <w:p>
      <w:pPr>
        <w:spacing w:line="360" w:lineRule="auto" w:beforeLines="100" w:after="50"/>
        <w:ind w:left="0"/>
      </w:pPr>
      <w:r>
        <w:rPr>
          <w:rFonts w:eastAsia="宋体" w:ascii="宋体"/>
        </w:rPr>
        <w:pict>
          <v:rect style="width:0;height:1.5pt" id="_x0000_i1025" o:hr="t" o:hrstd="t" o:hralign="center" stroked="f" fillcolor="#a0a0a0"/>
        </w:pict>
      </w:r>
    </w:p>
    <w:bookmarkEnd w:id="186"/>
    <w:bookmarkStart w:name="L1M7n" w:id="187"/>
    <w:p>
      <w:pPr>
        <w:pStyle w:val="Heading2"/>
        <w:spacing w:after="50" w:line="360" w:lineRule="auto" w:beforeLines="100"/>
        <w:ind w:left="0"/>
        <w:jc w:val="left"/>
      </w:pPr>
      <w:r>
        <w:rPr>
          <w:rFonts w:ascii="宋体" w:hAnsi="Times New Roman" w:eastAsia="宋体"/>
        </w:rPr>
        <w:t>Q13：科研仪器机时统计有什么实际用途？</w:t>
      </w:r>
    </w:p>
    <w:bookmarkEnd w:id="187"/>
    <w:bookmarkStart w:name="u161be38f" w:id="188"/>
    <w:p>
      <w:pPr>
        <w:spacing w:after="50" w:line="360" w:lineRule="auto" w:beforeLines="100"/>
        <w:ind w:left="0"/>
        <w:jc w:val="left"/>
      </w:pPr>
      <w:r>
        <w:rPr>
          <w:rFonts w:ascii="宋体" w:hAnsi="Times New Roman" w:eastAsia="宋体"/>
          <w:b w:val="false"/>
          <w:i w:val="false"/>
          <w:color w:val="000000"/>
          <w:sz w:val="22"/>
        </w:rPr>
        <w:t>大型科研仪器的开放共享是国家科技资源管理的一项重要政策。科技部定期对全国高校和科研院所的价值 50 万元以上的大型仪器进行开放共享考核，考核结果直接与下一年度的仪器购置经费挂钩。考核的硬指标包括年有效运行机时、共享服务机时和对外服务收入。</w:t>
      </w:r>
    </w:p>
    <w:bookmarkEnd w:id="188"/>
    <w:bookmarkStart w:name="u7d9cd9c8" w:id="189"/>
    <w:p>
      <w:pPr>
        <w:spacing w:after="50" w:line="360" w:lineRule="auto" w:beforeLines="100"/>
        <w:ind w:left="0"/>
        <w:jc w:val="left"/>
      </w:pPr>
      <w:r>
        <w:rPr>
          <w:rFonts w:ascii="宋体" w:hAnsi="Times New Roman" w:eastAsia="宋体"/>
          <w:b w:val="false"/>
          <w:i w:val="false"/>
          <w:color w:val="000000"/>
          <w:sz w:val="22"/>
        </w:rPr>
        <w:t>在 IoT 方案部署之前，这些指标全部依赖课题组手动填报——仪器管理员每月追着课题组要使用记录，各课题组凭记忆填写，数据的客观性和准确性无法保证。非接触式电流检测仪的上线从根本上改变了这个局面——仪器什么时候开机、运行多长时间、处于什么功率状态，全部由电流数据自动记录，无法人为篡改。</w:t>
      </w:r>
    </w:p>
    <w:bookmarkEnd w:id="189"/>
    <w:bookmarkStart w:name="u6ff13e30" w:id="190"/>
    <w:p>
      <w:pPr>
        <w:spacing w:after="50" w:line="360" w:lineRule="auto" w:beforeLines="100"/>
        <w:ind w:left="0"/>
        <w:jc w:val="left"/>
      </w:pPr>
      <w:r>
        <w:rPr>
          <w:rFonts w:ascii="宋体" w:hAnsi="Times New Roman" w:eastAsia="宋体"/>
          <w:b w:val="false"/>
          <w:i w:val="false"/>
          <w:color w:val="000000"/>
          <w:sz w:val="22"/>
        </w:rPr>
        <w:t>平台在每个考核周期自动生成每台仪器的机时统计报告，包含总运行机时、各课题组使用机时占比、服务机时和对外服务记录。这套数据同时可用于仪器使用效率分析——同一实验室的两台同型号设备，一台年均运行 2,000 小时，另一台仅运行 800 小时，管理者可以通过调整共享策略让低效设备发挥更大价值。</w:t>
      </w:r>
    </w:p>
    <w:bookmarkEnd w:id="190"/>
    <w:bookmarkStart w:name="p6fZJ" w:id="191"/>
    <w:p>
      <w:pPr>
        <w:spacing w:line="360" w:lineRule="auto" w:beforeLines="100" w:after="50"/>
        <w:ind w:left="0"/>
      </w:pPr>
      <w:r>
        <w:rPr>
          <w:rFonts w:eastAsia="宋体" w:ascii="宋体"/>
        </w:rPr>
        <w:pict>
          <v:rect style="width:0;height:1.5pt" id="_x0000_i1025" o:hr="t" o:hrstd="t" o:hralign="center" stroked="f" fillcolor="#a0a0a0"/>
        </w:pict>
      </w:r>
    </w:p>
    <w:bookmarkEnd w:id="191"/>
    <w:bookmarkStart w:name="OYESG" w:id="192"/>
    <w:p>
      <w:pPr>
        <w:pStyle w:val="Heading2"/>
        <w:spacing w:after="50" w:line="360" w:lineRule="auto" w:beforeLines="100"/>
        <w:ind w:left="0"/>
        <w:jc w:val="left"/>
      </w:pPr>
      <w:r>
        <w:rPr>
          <w:rFonts w:ascii="宋体" w:hAnsi="Times New Roman" w:eastAsia="宋体"/>
        </w:rPr>
        <w:t>Q14：系统如何保障数据安全？</w:t>
      </w:r>
    </w:p>
    <w:bookmarkEnd w:id="192"/>
    <w:bookmarkStart w:name="u0c5cc59c" w:id="193"/>
    <w:p>
      <w:pPr>
        <w:spacing w:after="50" w:line="360" w:lineRule="auto" w:beforeLines="100"/>
        <w:ind w:left="0"/>
        <w:jc w:val="left"/>
      </w:pPr>
      <w:r>
        <w:rPr>
          <w:rFonts w:ascii="宋体" w:hAnsi="Times New Roman" w:eastAsia="宋体"/>
          <w:b w:val="false"/>
          <w:i w:val="false"/>
          <w:color w:val="000000"/>
          <w:sz w:val="22"/>
        </w:rPr>
        <w:t>数据安全体现在四个层面。传输安全——PLC 网关、红外抄表装置和电流检测仪与云平台之间的通讯全程采用 TLS 加密，所有上行数据和下行指令均在加密通道中传输。平台安全——云平台部署满足等保 2.0 要求，多副本异地容灾确保 7×24 小时不间断运行，定时自动备份数据支持一键恢复。访问安全——平台采用多级角色权限管理，区分超级管理员、区域管理员、运维人员和查看人员，不同角色看到的数据范围和操作权限严格隔离。审计安全——所有后台操作全部留痕记录，包括登录、参数修改、设备控制和报表导出，操作日志不可篡改。</w:t>
      </w:r>
    </w:p>
    <w:bookmarkEnd w:id="193"/>
    <w:bookmarkStart w:name="tzeSN" w:id="194"/>
    <w:p>
      <w:pPr>
        <w:spacing w:line="360" w:lineRule="auto" w:beforeLines="100" w:after="50"/>
        <w:ind w:left="0"/>
      </w:pPr>
      <w:r>
        <w:rPr>
          <w:rFonts w:eastAsia="宋体" w:ascii="宋体"/>
        </w:rPr>
        <w:pict>
          <v:rect style="width:0;height:1.5pt" id="_x0000_i1025" o:hr="t" o:hrstd="t" o:hralign="center" stroked="f" fillcolor="#a0a0a0"/>
        </w:pict>
      </w:r>
    </w:p>
    <w:bookmarkEnd w:id="194"/>
    <w:bookmarkStart w:name="cnhEJ" w:id="195"/>
    <w:p>
      <w:pPr>
        <w:pStyle w:val="Heading2"/>
        <w:spacing w:after="50" w:line="360" w:lineRule="auto" w:beforeLines="100"/>
        <w:ind w:left="0"/>
        <w:jc w:val="left"/>
      </w:pPr>
      <w:r>
        <w:rPr>
          <w:rFonts w:ascii="宋体" w:hAnsi="Times New Roman" w:eastAsia="宋体"/>
        </w:rPr>
        <w:t>Q15：售后服务和技术支持？</w:t>
      </w:r>
    </w:p>
    <w:bookmarkEnd w:id="195"/>
    <w:bookmarkStart w:name="u45827deb" w:id="196"/>
    <w:p>
      <w:pPr>
        <w:spacing w:after="50" w:line="360" w:lineRule="auto" w:beforeLines="100"/>
        <w:ind w:left="0"/>
        <w:jc w:val="left"/>
      </w:pPr>
      <w:r>
        <w:rPr>
          <w:rFonts w:ascii="宋体" w:hAnsi="Times New Roman" w:eastAsia="宋体"/>
          <w:b w:val="false"/>
          <w:i w:val="false"/>
          <w:color w:val="000000"/>
          <w:sz w:val="22"/>
        </w:rPr>
        <w:t>轨物科技为节能减排智能监测系统提供全生命周期的技术支持服务。远程支持覆盖系统配置、参数优化和故障排查，工作日内 2 小时响应。现场服务涵盖设备安装指导、首次数据联调和定期巡检保养。对于供暖场景，轨物在供热季开始前一个月提供免费的设备健康检查和平台功能验证服务，确保系统在供暖季零故障运行。备件方面，PLC 网关、红外抄表装置和电流检测仪等常规设备在 3 个工作日内发货。</w:t>
      </w:r>
    </w:p>
    <w:bookmarkEnd w:id="196"/>
    <w:bookmarkStart w:name="u015fe2bf" w:id="197"/>
    <w:bookmarkEnd w:id="197"/>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宋体" w:eastAsia="宋体"/>
      <w:b/>
      <w:bCs/>
      <w:color w:val="000000"/>
      <w:sz w:val="42"/>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宋体" w:eastAsia="宋体"/>
      <w:b/>
      <w:bCs/>
      <w:color w:val="000000"/>
      <w:sz w:val="38"/>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宋体" w:eastAsia="宋体"/>
      <w:b/>
      <w:bCs/>
      <w:color w:val="000000"/>
      <w:sz w:val="34"/>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宋体" w:eastAsia="宋体"/>
      <w:b/>
      <w:bCs/>
      <w:color w:val="000000"/>
      <w:sz w:val="30"/>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 w:type="paragraph" w:styleId="Heading5">
    <w:name w:val="heading 5"/>
    <w:basedOn w:val="Normal"/>
    <w:next w:val="Normal"/>
    <w:link w:val="Heading5Char"/>
    <w:uiPriority w:val="9"/>
    <w:unhideWhenUsed/>
    <w:qFormat/>
    <w:rsid w:val="00841CD9"/>
    <w:pPr>
      <w:keepNext/>
      <w:keepLines/>
      <w:spacing w:before="200"/>
      <w:outlineLvl w:val="4"/>
    </w:pPr>
    <w:rPr>
      <w:rFonts w:ascii="宋体" w:eastAsia="宋体"/>
      <w:b/>
      <w:bCs/>
      <w:color w:val="000000"/>
      <w:sz w:val="28"/>
    </w:rPr>
  </w:style>
  <w:style w:type="paragraph" w:styleId="ne-codeblock"/>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numbering.xml" Type="http://schemas.openxmlformats.org/officeDocument/2006/relationships/numbering"/></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http://purl.org/dc/elements/1.1/" xmlns:dcterms="http://purl.org/dc/terms/" xmlns:xsi="http://www.w3.org/2001/XMLSchema-instance"/>
</file>