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零碳园区微电网EMS</w:t>
      </w:r>
    </w:p>
    <w:p>
      <w:pPr>
        <w:pStyle w:val="Heading1"/>
        <w:spacing w:after="50" w:line="360" w:lineRule="auto" w:beforeLines="100"/>
        <w:ind w:left="0"/>
        <w:jc w:val="left"/>
      </w:pPr>
      <w:bookmarkStart w:name="igVbV" w:id="0"/>
      <w:r>
        <w:rPr>
          <w:rFonts w:ascii="宋体" w:hAnsi="Times New Roman" w:eastAsia="宋体"/>
        </w:rPr>
        <w:t>零碳园区微电网EMS</w:t>
      </w:r>
    </w:p>
    <w:bookmarkEnd w:id="0"/>
    <w:bookmarkStart w:name="u62badcd9" w:id="1"/>
    <w:bookmarkEnd w:id="1"/>
    <w:bookmarkStart w:name="io11A" w:id="2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Q1：什么是微电网 EMS？和普通电力监控系统有什么区别？</w:t>
      </w:r>
    </w:p>
    <w:bookmarkEnd w:id="2"/>
    <w:bookmarkStart w:name="u90e3b140" w:id="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这是最容易被混淆的一个概念。普通电力监控系统的工作模式是"看"——采集电流、电压、功率等数据，在大屏上展示，超过阈值就告警。它的核心职责是让人知道"正在发生什么"。</w:t>
      </w:r>
    </w:p>
    <w:bookmarkEnd w:id="3"/>
    <w:bookmarkStart w:name="u488bab61" w:id="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微电网 EMS 的工作模式是"管"——它根据光伏发电预测、负荷预测、电价信号和储能 SOC 状态，自主决策什么时候充电、什么时候放电、什么时候从电网买电、什么时候卖电。它不是展示数据的工具，而是一个持续做最优经济决策的调度大脑。两者的本质区别在于：监控系统回答"现在是什么状态"，EMS 回答"接下来应该怎么做"。</w:t>
      </w:r>
    </w:p>
    <w:bookmarkEnd w:id="4"/>
    <w:bookmarkStart w:name="StlMa" w:id="5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4490"/>
        <w:gridCol w:w="4562"/>
        <w:gridCol w:w="4582"/>
      </w:tblGrid>
      <w:tr>
        <w:trPr>
          <w:trHeight w:val="495" w:hRule="atLeast"/>
        </w:trPr>
        <w:tc>
          <w:tcPr>
            <w:tcW w:w="44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98c8a7e" w:id="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对比维度</w:t>
            </w:r>
          </w:p>
          <w:bookmarkEnd w:id="6"/>
        </w:tc>
        <w:tc>
          <w:tcPr>
            <w:tcW w:w="456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26542da" w:id="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普通电力监控</w:t>
            </w:r>
          </w:p>
          <w:bookmarkEnd w:id="7"/>
        </w:tc>
        <w:tc>
          <w:tcPr>
            <w:tcW w:w="458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9fb52cc" w:id="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微电网 EMS</w:t>
            </w:r>
          </w:p>
          <w:bookmarkEnd w:id="8"/>
        </w:tc>
      </w:tr>
      <w:tr>
        <w:trPr>
          <w:trHeight w:val="495" w:hRule="atLeast"/>
        </w:trPr>
        <w:tc>
          <w:tcPr>
            <w:tcW w:w="44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1e3069b" w:id="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核心功能</w:t>
            </w:r>
          </w:p>
          <w:bookmarkEnd w:id="9"/>
        </w:tc>
        <w:tc>
          <w:tcPr>
            <w:tcW w:w="456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49caf66" w:id="1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数据采集+展示+阈值告警</w:t>
            </w:r>
          </w:p>
          <w:bookmarkEnd w:id="10"/>
        </w:tc>
        <w:tc>
          <w:tcPr>
            <w:tcW w:w="458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abd117a" w:id="1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优化调度+自动决策+闭环执行</w:t>
            </w:r>
          </w:p>
          <w:bookmarkEnd w:id="11"/>
        </w:tc>
      </w:tr>
      <w:tr>
        <w:trPr>
          <w:trHeight w:val="495" w:hRule="atLeast"/>
        </w:trPr>
        <w:tc>
          <w:tcPr>
            <w:tcW w:w="44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1e0f416" w:id="1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决策主体</w:t>
            </w:r>
          </w:p>
          <w:bookmarkEnd w:id="12"/>
        </w:tc>
        <w:tc>
          <w:tcPr>
            <w:tcW w:w="456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01b0597" w:id="1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人</w:t>
            </w:r>
          </w:p>
          <w:bookmarkEnd w:id="13"/>
        </w:tc>
        <w:tc>
          <w:tcPr>
            <w:tcW w:w="458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20c6e94" w:id="1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AI 算法</w:t>
            </w:r>
          </w:p>
          <w:bookmarkEnd w:id="14"/>
        </w:tc>
      </w:tr>
      <w:tr>
        <w:trPr>
          <w:trHeight w:val="495" w:hRule="atLeast"/>
        </w:trPr>
        <w:tc>
          <w:tcPr>
            <w:tcW w:w="44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2a8cb42" w:id="1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储能管理</w:t>
            </w:r>
          </w:p>
          <w:bookmarkEnd w:id="15"/>
        </w:tc>
        <w:tc>
          <w:tcPr>
            <w:tcW w:w="456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ee03740" w:id="1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仅显示 SOC</w:t>
            </w:r>
          </w:p>
          <w:bookmarkEnd w:id="16"/>
        </w:tc>
        <w:tc>
          <w:tcPr>
            <w:tcW w:w="458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d97e13a" w:id="1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自主充放电策略</w:t>
            </w:r>
          </w:p>
          <w:bookmarkEnd w:id="17"/>
        </w:tc>
      </w:tr>
      <w:tr>
        <w:trPr>
          <w:trHeight w:val="495" w:hRule="atLeast"/>
        </w:trPr>
        <w:tc>
          <w:tcPr>
            <w:tcW w:w="44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c2258be" w:id="1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碳核算</w:t>
            </w:r>
          </w:p>
          <w:bookmarkEnd w:id="18"/>
        </w:tc>
        <w:tc>
          <w:tcPr>
            <w:tcW w:w="456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323e65a" w:id="1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无或手动</w:t>
            </w:r>
          </w:p>
          <w:bookmarkEnd w:id="19"/>
        </w:tc>
        <w:tc>
          <w:tcPr>
            <w:tcW w:w="458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7679bca" w:id="2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ISO 14064 自动追踪</w:t>
            </w:r>
          </w:p>
          <w:bookmarkEnd w:id="20"/>
        </w:tc>
      </w:tr>
      <w:tr>
        <w:trPr>
          <w:trHeight w:val="495" w:hRule="atLeast"/>
        </w:trPr>
        <w:tc>
          <w:tcPr>
            <w:tcW w:w="44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9d3fc20" w:id="2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需量控制</w:t>
            </w:r>
          </w:p>
          <w:bookmarkEnd w:id="21"/>
        </w:tc>
        <w:tc>
          <w:tcPr>
            <w:tcW w:w="456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649f833" w:id="2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仅告警</w:t>
            </w:r>
          </w:p>
          <w:bookmarkEnd w:id="22"/>
        </w:tc>
        <w:tc>
          <w:tcPr>
            <w:tcW w:w="458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697f06e" w:id="2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15 分钟预控+自动削峰</w:t>
            </w:r>
          </w:p>
          <w:bookmarkEnd w:id="23"/>
        </w:tc>
      </w:tr>
      <w:tr>
        <w:trPr>
          <w:trHeight w:val="495" w:hRule="atLeast"/>
        </w:trPr>
        <w:tc>
          <w:tcPr>
            <w:tcW w:w="44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064d511" w:id="2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经济性</w:t>
            </w:r>
          </w:p>
          <w:bookmarkEnd w:id="24"/>
        </w:tc>
        <w:tc>
          <w:tcPr>
            <w:tcW w:w="456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7e132a3" w:id="2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不涉及</w:t>
            </w:r>
          </w:p>
          <w:bookmarkEnd w:id="25"/>
        </w:tc>
        <w:tc>
          <w:tcPr>
            <w:tcW w:w="458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f0cff9f" w:id="2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峰谷套利+需求响应+交易</w:t>
            </w:r>
          </w:p>
          <w:bookmarkEnd w:id="26"/>
        </w:tc>
      </w:tr>
    </w:tbl>
    <w:bookmarkEnd w:id="5"/>
    <w:bookmarkStart w:name="zlkV6" w:id="27"/>
    <w:p>
      <w:pPr>
        <w:spacing w:line="360" w:lineRule="auto" w:beforeLines="100" w:after="50"/>
        <w:ind w:left="0"/>
      </w:pPr>
      <w:r>
        <w:rPr>
          <w:rFonts w:eastAsia="宋体" w:ascii="宋体"/>
        </w:rPr>
        <w:pict>
          <v:rect style="width:0;height:1.5pt" id="_x0000_i1025" o:hr="t" o:hrstd="t" o:hralign="center" stroked="f" fillcolor="#a0a0a0"/>
        </w:pict>
      </w:r>
    </w:p>
    <w:bookmarkEnd w:id="27"/>
    <w:bookmarkStart w:name="uky2W" w:id="28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Q2：轨物 EMS 包含哪些核心组件？总体架构是怎样的？</w:t>
      </w:r>
    </w:p>
    <w:bookmarkEnd w:id="28"/>
    <w:bookmarkStart w:name="u10bb5f86" w:id="2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系统采用"端—边—云"三层协同架构。</w:t>
      </w:r>
    </w:p>
    <w:bookmarkEnd w:id="29"/>
    <w:bookmarkStart w:name="uc2a929be" w:id="3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感知层部署于光伏逆变器、储能 PCS、并网计量点和主要馈线回路，采集电气参数、环境数据和设备状态。边缘层通过智能网关完成多协议规约转换和本地数据预处理。云平台层是系统的核心——运行四大 AI 智能体，基于统一数据中台协同工作。</w:t>
      </w:r>
    </w:p>
    <w:bookmarkEnd w:id="30"/>
    <w:bookmarkStart w:name="ucf2876de" w:id="3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这四大智能体各有分工又相互协作。调度 Agent 负责光伏储能协同优化和充放电策略制定，每 15 分钟滚动优化一次。需量 Agent 负责关口功率实时监测和峰值预控，响应时间不超过 500 毫秒。碳核算 Agent 负责逐度追踪电力来源并生成 ISO 14064 合规报告。交易 Agent 负责对接电力现货市场和需求响应平台，执行绿电交易和辅助服务。交互层提供大屏驾驶舱、WEB 后台和移动端 APP 三种访问方式，不同角色看到的数据视图和操作权限各不相同。</w:t>
      </w:r>
    </w:p>
    <w:bookmarkEnd w:id="31"/>
    <w:bookmarkStart w:name="zDD7p" w:id="32"/>
    <w:p>
      <w:pPr>
        <w:spacing w:line="360" w:lineRule="auto" w:beforeLines="100" w:after="50"/>
        <w:ind w:left="0"/>
      </w:pPr>
      <w:r>
        <w:rPr>
          <w:rFonts w:eastAsia="宋体" w:ascii="宋体"/>
        </w:rPr>
        <w:pict>
          <v:rect style="width:0;height:1.5pt" id="_x0000_i1025" o:hr="t" o:hrstd="t" o:hralign="center" stroked="f" fillcolor="#a0a0a0"/>
        </w:pict>
      </w:r>
    </w:p>
    <w:bookmarkEnd w:id="32"/>
    <w:bookmarkStart w:name="yAfrg" w:id="33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Q3：光伏和储能是如何协同调度的？</w:t>
      </w:r>
    </w:p>
    <w:bookmarkEnd w:id="33"/>
    <w:bookmarkStart w:name="u63a87952" w:id="3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光储协同是 EMS 最核心的价值之一。其工作逻辑可以概括为：光伏大发时优先给储能充电、给园区负荷供电，多余的并入电网；光伏不足或电价高峰时储能放电支撑负荷；光伏为零的夜间，EMS 根据次日光伏预测，在谷电时段提前给储能充电，为第二天早高峰备足电量。</w:t>
      </w:r>
    </w:p>
    <w:bookmarkEnd w:id="34"/>
    <w:bookmarkStart w:name="uf2895e55" w:id="3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调度 Agent 每 15 分钟滚动执行一次优化计算，输入量包括四项——超短期光伏功率预测（基于辐照仪和气象数据，精度 90% 以上）、园区负荷预测（精度 92% 以上）、储能 SOC 实时状态、分时电价信号。输出量为储能充放电功率指令和柔性负荷调节建议。</w:t>
      </w:r>
    </w:p>
    <w:bookmarkEnd w:id="35"/>
    <w:bookmarkStart w:name="u6c661cbc" w:id="3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调度策略以绿电消纳最大化为优先目标，同时兼顾储能电池寿命保护——SOC 不低于 20% 的安全下限，不高于 90% 的浮充上限。实际运行数据表明，部署该策略后园区午间光伏大发时段的弃光率从 28% 降至 5% 以下，绿电自发自用率从 72% 提升至 92%。</w:t>
      </w:r>
    </w:p>
    <w:bookmarkEnd w:id="36"/>
    <w:bookmarkStart w:name="vrw8S" w:id="37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3390"/>
        <w:gridCol w:w="3390"/>
        <w:gridCol w:w="3391"/>
        <w:gridCol w:w="3463"/>
      </w:tblGrid>
      <w:tr>
        <w:trPr>
          <w:trHeight w:val="495" w:hRule="atLeast"/>
        </w:trPr>
        <w:tc>
          <w:tcPr>
            <w:tcW w:w="33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ba037d1" w:id="3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时段</w:t>
            </w:r>
          </w:p>
          <w:bookmarkEnd w:id="38"/>
        </w:tc>
        <w:tc>
          <w:tcPr>
            <w:tcW w:w="33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ce7e6cf" w:id="3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光伏出力</w:t>
            </w:r>
          </w:p>
          <w:bookmarkEnd w:id="39"/>
        </w:tc>
        <w:tc>
          <w:tcPr>
            <w:tcW w:w="339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84c0f9b" w:id="4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负荷状态</w:t>
            </w:r>
          </w:p>
          <w:bookmarkEnd w:id="40"/>
        </w:tc>
        <w:tc>
          <w:tcPr>
            <w:tcW w:w="346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740c347" w:id="4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EMS 策略</w:t>
            </w:r>
          </w:p>
          <w:bookmarkEnd w:id="41"/>
        </w:tc>
      </w:tr>
      <w:tr>
        <w:trPr>
          <w:trHeight w:val="495" w:hRule="atLeast"/>
        </w:trPr>
        <w:tc>
          <w:tcPr>
            <w:tcW w:w="33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b2767e8" w:id="4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午间光伏大发</w:t>
            </w:r>
          </w:p>
          <w:bookmarkEnd w:id="42"/>
        </w:tc>
        <w:tc>
          <w:tcPr>
            <w:tcW w:w="33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3ffcdd4" w:id="4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大于负荷</w:t>
            </w:r>
          </w:p>
          <w:bookmarkEnd w:id="43"/>
        </w:tc>
        <w:tc>
          <w:tcPr>
            <w:tcW w:w="339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2b98101" w:id="4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低至中</w:t>
            </w:r>
          </w:p>
          <w:bookmarkEnd w:id="44"/>
        </w:tc>
        <w:tc>
          <w:tcPr>
            <w:tcW w:w="346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3733a50" w:id="4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优先充电+余电上网</w:t>
            </w:r>
          </w:p>
          <w:bookmarkEnd w:id="45"/>
        </w:tc>
      </w:tr>
      <w:tr>
        <w:trPr>
          <w:trHeight w:val="495" w:hRule="atLeast"/>
        </w:trPr>
        <w:tc>
          <w:tcPr>
            <w:tcW w:w="33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d5bbb01" w:id="4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傍晚电价高峰</w:t>
            </w:r>
          </w:p>
          <w:bookmarkEnd w:id="46"/>
        </w:tc>
        <w:tc>
          <w:tcPr>
            <w:tcW w:w="33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167cd1a" w:id="4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快速下降</w:t>
            </w:r>
          </w:p>
          <w:bookmarkEnd w:id="47"/>
        </w:tc>
        <w:tc>
          <w:tcPr>
            <w:tcW w:w="339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92cb434" w:id="4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中至高</w:t>
            </w:r>
          </w:p>
          <w:bookmarkEnd w:id="48"/>
        </w:tc>
        <w:tc>
          <w:tcPr>
            <w:tcW w:w="346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bb0cdeb" w:id="4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储能放电支撑+抑制从电网取电</w:t>
            </w:r>
          </w:p>
          <w:bookmarkEnd w:id="49"/>
        </w:tc>
      </w:tr>
      <w:tr>
        <w:trPr>
          <w:trHeight w:val="495" w:hRule="atLeast"/>
        </w:trPr>
        <w:tc>
          <w:tcPr>
            <w:tcW w:w="33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daf739c" w:id="5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夜间谷电时段</w:t>
            </w:r>
          </w:p>
          <w:bookmarkEnd w:id="50"/>
        </w:tc>
        <w:tc>
          <w:tcPr>
            <w:tcW w:w="33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0698f47" w:id="5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零</w:t>
            </w:r>
          </w:p>
          <w:bookmarkEnd w:id="51"/>
        </w:tc>
        <w:tc>
          <w:tcPr>
            <w:tcW w:w="339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17f423f" w:id="5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低</w:t>
            </w:r>
          </w:p>
          <w:bookmarkEnd w:id="52"/>
        </w:tc>
        <w:tc>
          <w:tcPr>
            <w:tcW w:w="346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3a63a68" w:id="5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储能充电（为次日早高峰准备）</w:t>
            </w:r>
          </w:p>
          <w:bookmarkEnd w:id="53"/>
        </w:tc>
      </w:tr>
      <w:tr>
        <w:trPr>
          <w:trHeight w:val="495" w:hRule="atLeast"/>
        </w:trPr>
        <w:tc>
          <w:tcPr>
            <w:tcW w:w="33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b370e2b" w:id="5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早高峰</w:t>
            </w:r>
          </w:p>
          <w:bookmarkEnd w:id="54"/>
        </w:tc>
        <w:tc>
          <w:tcPr>
            <w:tcW w:w="339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ad348ee" w:id="5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低</w:t>
            </w:r>
          </w:p>
          <w:bookmarkEnd w:id="55"/>
        </w:tc>
        <w:tc>
          <w:tcPr>
            <w:tcW w:w="339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b44e2e8" w:id="5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高</w:t>
            </w:r>
          </w:p>
          <w:bookmarkEnd w:id="56"/>
        </w:tc>
        <w:tc>
          <w:tcPr>
            <w:tcW w:w="346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868bfac" w:id="5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储能放电+光伏逐渐接管</w:t>
            </w:r>
          </w:p>
          <w:bookmarkEnd w:id="57"/>
        </w:tc>
      </w:tr>
    </w:tbl>
    <w:bookmarkEnd w:id="37"/>
    <w:bookmarkStart w:name="Jx7K6" w:id="58"/>
    <w:p>
      <w:pPr>
        <w:spacing w:line="360" w:lineRule="auto" w:beforeLines="100" w:after="50"/>
        <w:ind w:left="0"/>
      </w:pPr>
      <w:r>
        <w:rPr>
          <w:rFonts w:eastAsia="宋体" w:ascii="宋体"/>
        </w:rPr>
        <w:pict>
          <v:rect style="width:0;height:1.5pt" id="_x0000_i1025" o:hr="t" o:hrstd="t" o:hralign="center" stroked="f" fillcolor="#a0a0a0"/>
        </w:pict>
      </w:r>
    </w:p>
    <w:bookmarkEnd w:id="58"/>
    <w:bookmarkStart w:name="NXEsF" w:id="59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Q4：需量控制是怎么做的？能省多少钱？</w:t>
      </w:r>
    </w:p>
    <w:bookmarkEnd w:id="59"/>
    <w:bookmarkStart w:name="u1815fc18" w:id="6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电力公司对大工业用户的基本电费按"最大需量"收取——取当月任意 15 分钟窗口内的功率峰值作为全月的计费基准。这意味着，哪怕一个月 30 天中有 29 天的需量都很低，只要某一天下午光伏突然掉功率、园区瞬间从电网拉了一口大电，这个尖峰就成了全月的计费基准，基本电费按照这个峰值收一整月。</w:t>
      </w:r>
    </w:p>
    <w:bookmarkEnd w:id="60"/>
    <w:bookmarkStart w:name="u14b8c293" w:id="6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需量 Agent 的工作就是避免这种"一次尖峰坑全月"的情况。它每 15 秒扫描一次关口功率，当预测到下一个 15 分钟窗口的需量有突破当前月峰值的风险时，立即启动响应——优先启动储能放电抵消从电网的取电，如果储能 SOC 不足，则短暂下调空调、充电桩等柔性负荷。整个过程在 500 毫秒内完成响应，对园区正常生产影响极小。</w:t>
      </w:r>
    </w:p>
    <w:bookmarkEnd w:id="61"/>
    <w:bookmarkStart w:name="u50bb2adb" w:id="6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以一个配置 5MW/10MWh 储能的典型园区为例，通过需量控制将月峰值需量降低约 800kW，月基本电费可降低约 2.4 万元（按基本电费单价 30 元/kW/月计算），全年降低约 28.8 万元。加上储能峰谷套利年收益约 85 万元和力调电费罚款消除约 48 万元，综合年化收益超过 160 万元。</w:t>
      </w:r>
    </w:p>
    <w:bookmarkEnd w:id="62"/>
    <w:bookmarkStart w:name="wY0fe" w:id="63"/>
    <w:p>
      <w:pPr>
        <w:spacing w:line="360" w:lineRule="auto" w:beforeLines="100" w:after="50"/>
        <w:ind w:left="0"/>
      </w:pPr>
      <w:r>
        <w:rPr>
          <w:rFonts w:eastAsia="宋体" w:ascii="宋体"/>
        </w:rPr>
        <w:pict>
          <v:rect style="width:0;height:1.5pt" id="_x0000_i1025" o:hr="t" o:hrstd="t" o:hralign="center" stroked="f" fillcolor="#a0a0a0"/>
        </w:pict>
      </w:r>
    </w:p>
    <w:bookmarkEnd w:id="63"/>
    <w:bookmarkStart w:name="eIQJG" w:id="64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Q5：碳排放是怎么算的？和买个绿证有什么区别？</w:t>
      </w:r>
    </w:p>
    <w:bookmarkEnd w:id="64"/>
    <w:bookmarkStart w:name="uf40b4499" w:id="6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碳核算 Agent 没有简单地用电表读数乘以一个固定排放因子了事——这种方法分不清一度电是来自光伏还是来自电网，也追不到储能放出的电当初是什么来源。轨物的碳核算逻辑是：按 15 分钟粒度逐时段追踪每度电的来源属性。</w:t>
      </w:r>
    </w:p>
    <w:bookmarkEnd w:id="65"/>
    <w:bookmarkStart w:name="u15af96b7" w:id="6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光伏自发自用的电量，碳排放因子为零。从电网取的电量，按华东区域电网的实时排放因子计算。储能放电量追溯其充电来源——如果储能充的是中午的光伏电，放出来算零碳；充的是夜间的电网电，放出来按对应的排放因子计算。</w:t>
      </w:r>
    </w:p>
    <w:bookmarkEnd w:id="66"/>
    <w:bookmarkStart w:name="ueae1d92d" w:id="6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这种溯源粒度意味着园区的碳排报告不只是"本月总排了多少吨"，而是可以精确到"3 月 15 日下午 2 点 15 分到 2 点 30 分这段时间排了多少、来自哪条馈线、用在了哪个车间"。报告按 ISO 14064 标准生成，区分 Scope 1（直接排放）和 Scope 2（间接排放），支持按企业、按车间、按生产线逐级钻取。</w:t>
      </w:r>
    </w:p>
    <w:bookmarkEnd w:id="67"/>
    <w:bookmarkStart w:name="u9dd30a65" w:id="6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与买绿证"抵消"的逻辑不同，碳核算是"证明"——证明你的每一度绿电确有其物理来源，数据链路完整可审计。这一点在应对欧盟碳边境调节机制（CBAM）和下游客户供应链碳中和合规时至关重要。</w:t>
      </w:r>
    </w:p>
    <w:bookmarkEnd w:id="68"/>
    <w:bookmarkStart w:name="ioxg2" w:id="69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4502"/>
        <w:gridCol w:w="4524"/>
        <w:gridCol w:w="4608"/>
      </w:tblGrid>
      <w:tr>
        <w:trPr>
          <w:trHeight w:val="495" w:hRule="atLeast"/>
        </w:trPr>
        <w:tc>
          <w:tcPr>
            <w:tcW w:w="450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6ab05c7" w:id="7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对比维度</w:t>
            </w:r>
          </w:p>
          <w:bookmarkEnd w:id="70"/>
        </w:tc>
        <w:tc>
          <w:tcPr>
            <w:tcW w:w="452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8ef954e" w:id="7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传统做法</w:t>
            </w:r>
          </w:p>
          <w:bookmarkEnd w:id="71"/>
        </w:tc>
        <w:tc>
          <w:tcPr>
            <w:tcW w:w="460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5bb17b8" w:id="7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轨物碳核算</w:t>
            </w:r>
          </w:p>
          <w:bookmarkEnd w:id="72"/>
        </w:tc>
      </w:tr>
      <w:tr>
        <w:trPr>
          <w:trHeight w:val="495" w:hRule="atLeast"/>
        </w:trPr>
        <w:tc>
          <w:tcPr>
            <w:tcW w:w="450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4722a2f" w:id="7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核算粒度</w:t>
            </w:r>
          </w:p>
          <w:bookmarkEnd w:id="73"/>
        </w:tc>
        <w:tc>
          <w:tcPr>
            <w:tcW w:w="452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40a2935" w:id="7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月总量 × 固定因子</w:t>
            </w:r>
          </w:p>
          <w:bookmarkEnd w:id="74"/>
        </w:tc>
        <w:tc>
          <w:tcPr>
            <w:tcW w:w="460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45c091b" w:id="7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15 分钟 × 逐度电溯源</w:t>
            </w:r>
          </w:p>
          <w:bookmarkEnd w:id="75"/>
        </w:tc>
      </w:tr>
      <w:tr>
        <w:trPr>
          <w:trHeight w:val="495" w:hRule="atLeast"/>
        </w:trPr>
        <w:tc>
          <w:tcPr>
            <w:tcW w:w="450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8e32ce9" w:id="7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绿电识别</w:t>
            </w:r>
          </w:p>
          <w:bookmarkEnd w:id="76"/>
        </w:tc>
        <w:tc>
          <w:tcPr>
            <w:tcW w:w="452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b6b2695" w:id="7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无法区分</w:t>
            </w:r>
          </w:p>
          <w:bookmarkEnd w:id="77"/>
        </w:tc>
        <w:tc>
          <w:tcPr>
            <w:tcW w:w="460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7ec9908" w:id="7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光伏/电网/储能来源追踪</w:t>
            </w:r>
          </w:p>
          <w:bookmarkEnd w:id="78"/>
        </w:tc>
      </w:tr>
      <w:tr>
        <w:trPr>
          <w:trHeight w:val="495" w:hRule="atLeast"/>
        </w:trPr>
        <w:tc>
          <w:tcPr>
            <w:tcW w:w="450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f07be9b" w:id="7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报告标准</w:t>
            </w:r>
          </w:p>
          <w:bookmarkEnd w:id="79"/>
        </w:tc>
        <w:tc>
          <w:tcPr>
            <w:tcW w:w="452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76b387e" w:id="8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自定格式</w:t>
            </w:r>
          </w:p>
          <w:bookmarkEnd w:id="80"/>
        </w:tc>
        <w:tc>
          <w:tcPr>
            <w:tcW w:w="460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a8ec75e" w:id="8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ISO 14064</w:t>
            </w:r>
          </w:p>
          <w:bookmarkEnd w:id="81"/>
        </w:tc>
      </w:tr>
      <w:tr>
        <w:trPr>
          <w:trHeight w:val="495" w:hRule="atLeast"/>
        </w:trPr>
        <w:tc>
          <w:tcPr>
            <w:tcW w:w="450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a6206ad" w:id="8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可审计性</w:t>
            </w:r>
          </w:p>
          <w:bookmarkEnd w:id="82"/>
        </w:tc>
        <w:tc>
          <w:tcPr>
            <w:tcW w:w="452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d0a662a" w:id="8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低</w:t>
            </w:r>
          </w:p>
          <w:bookmarkEnd w:id="83"/>
        </w:tc>
        <w:tc>
          <w:tcPr>
            <w:tcW w:w="460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d92276b" w:id="8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全链路数据可追溯</w:t>
            </w:r>
          </w:p>
          <w:bookmarkEnd w:id="84"/>
        </w:tc>
      </w:tr>
      <w:tr>
        <w:trPr>
          <w:trHeight w:val="495" w:hRule="atLeast"/>
        </w:trPr>
        <w:tc>
          <w:tcPr>
            <w:tcW w:w="450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53b361c" w:id="8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合规用途</w:t>
            </w:r>
          </w:p>
          <w:bookmarkEnd w:id="85"/>
        </w:tc>
        <w:tc>
          <w:tcPr>
            <w:tcW w:w="452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4ff58e0" w:id="8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内部参考</w:t>
            </w:r>
          </w:p>
          <w:bookmarkEnd w:id="86"/>
        </w:tc>
        <w:tc>
          <w:tcPr>
            <w:tcW w:w="460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66b1879" w:id="8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CBAM 合规/供应链碳中和</w:t>
            </w:r>
          </w:p>
          <w:bookmarkEnd w:id="87"/>
        </w:tc>
      </w:tr>
    </w:tbl>
    <w:bookmarkEnd w:id="69"/>
    <w:bookmarkStart w:name="omflO" w:id="88"/>
    <w:p>
      <w:pPr>
        <w:spacing w:line="360" w:lineRule="auto" w:beforeLines="100" w:after="50"/>
        <w:ind w:left="0"/>
      </w:pPr>
      <w:r>
        <w:rPr>
          <w:rFonts w:eastAsia="宋体" w:ascii="宋体"/>
        </w:rPr>
        <w:pict>
          <v:rect style="width:0;height:1.5pt" id="_x0000_i1025" o:hr="t" o:hrstd="t" o:hralign="center" stroked="f" fillcolor="#a0a0a0"/>
        </w:pict>
      </w:r>
    </w:p>
    <w:bookmarkEnd w:id="88"/>
    <w:bookmarkStart w:name="gDUuc" w:id="89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Q6：储能 SOC 应该维持在什么范围？为什么不能用到零？</w:t>
      </w:r>
    </w:p>
    <w:bookmarkEnd w:id="89"/>
    <w:bookmarkStart w:name="ub227965c" w:id="9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这是储能运维中最常见的问题之一。锂电池的推荐 SOC 工作范围是 20% 至 90%。</w:t>
      </w:r>
    </w:p>
    <w:bookmarkEnd w:id="90"/>
    <w:bookmarkStart w:name="u4bc09220" w:id="9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低于 20% 的深度放电会加速电极材料的结构损伤——具体来说，锂离子过度脱出导致正极晶格坍塌，负极表面 SEI 膜反复破裂和再生消耗活性锂。每一次深度放电，电池的不可逆容量损失都比浅循环大得多。长期在 10% 以下运行的电池组，循环寿命可能只有设计寿命的三分之一。</w:t>
      </w:r>
    </w:p>
    <w:bookmarkEnd w:id="91"/>
    <w:bookmarkStart w:name="ubb0a0510" w:id="9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高于 90% 的长期浮充同样有害——高 SOC 状态下电解液分解加速，正极材料氧化活性增强，副反应产物持续积累。这就是为什么很多早期储能项目发现电池衰减速度远超预期——因为策略上习惯"充满放着"。</w:t>
      </w:r>
    </w:p>
    <w:bookmarkEnd w:id="92"/>
    <w:bookmarkStart w:name="u4477777d" w:id="9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EMS 会设置 SOC 上下限保护阈值。到达下限时强制停止放电，到达上限时自动停止充电。如果策略需要电池参与更频繁的调节，运维人员可以将工作区间收窄到 30%~80%，以牺牲部分可用容量换取更长的循环寿命。</w:t>
      </w:r>
    </w:p>
    <w:bookmarkEnd w:id="93"/>
    <w:bookmarkStart w:name="JI1uw" w:id="94"/>
    <w:p>
      <w:pPr>
        <w:spacing w:line="360" w:lineRule="auto" w:beforeLines="100" w:after="50"/>
        <w:ind w:left="0"/>
      </w:pPr>
      <w:r>
        <w:rPr>
          <w:rFonts w:eastAsia="宋体" w:ascii="宋体"/>
        </w:rPr>
        <w:pict>
          <v:rect style="width:0;height:1.5pt" id="_x0000_i1025" o:hr="t" o:hrstd="t" o:hralign="center" stroked="f" fillcolor="#a0a0a0"/>
        </w:pict>
      </w:r>
    </w:p>
    <w:bookmarkEnd w:id="94"/>
    <w:bookmarkStart w:name="v7xBN" w:id="95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Q7：微电网能脱离电网独立运行吗？</w:t>
      </w:r>
    </w:p>
    <w:bookmarkEnd w:id="95"/>
    <w:bookmarkStart w:name="ubd05c833" w:id="9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能，但需要满足两个前提条件：第一，储能和光伏的容量足以支撑孤岛期间的园区关键负荷；第二，系统配置了孤岛切换所需的并网开关和同期装置。</w:t>
      </w:r>
    </w:p>
    <w:bookmarkEnd w:id="96"/>
    <w:bookmarkStart w:name="u74b22259" w:id="9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当电网侧发生故障或电压频率越限时，EMS 在检测到异常后 20 毫秒内控制并网点开关断开，微电网进入孤岛模式。切换瞬间由储能逆变器接管电压和频率的建立，光伏逆变器在检测到孤岛电压建立后自动恢复并网。整个切换过程中，UPS 保障控制设备和通讯链路的供电不中断。</w:t>
      </w:r>
    </w:p>
    <w:bookmarkEnd w:id="97"/>
    <w:bookmarkStart w:name="ub78c46e4" w:id="9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在孤岛运行期间，EMS 的调度策略自动切换为"保供优先"模式——不再考虑电价套利，而是以最大化关键负荷供电时长为目标。光伏出力和储能 SOC 实时滚动计算剩余供电时间的预估值，当预测到即将供电不足时自动发出减负荷建议，提醒运营方关停非关键设备。</w:t>
      </w:r>
    </w:p>
    <w:bookmarkEnd w:id="98"/>
    <w:bookmarkStart w:name="u436f2eca" w:id="9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当电网恢复正常后，EMS 控制并网点开关在同期条件满足时自动合闸，微电网平滑切换回并网模式。整个过程对园区正常生产运行的扰动控制在秒级。</w:t>
      </w:r>
    </w:p>
    <w:bookmarkEnd w:id="99"/>
    <w:bookmarkStart w:name="NGzhV" w:id="100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3378"/>
        <w:gridCol w:w="3399"/>
        <w:gridCol w:w="3400"/>
        <w:gridCol w:w="3457"/>
      </w:tblGrid>
      <w:tr>
        <w:trPr>
          <w:trHeight w:val="495" w:hRule="atLeast"/>
        </w:trPr>
        <w:tc>
          <w:tcPr>
            <w:tcW w:w="337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30b93cd" w:id="10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运行模式</w:t>
            </w:r>
          </w:p>
          <w:bookmarkEnd w:id="101"/>
        </w:tc>
        <w:tc>
          <w:tcPr>
            <w:tcW w:w="339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b317405" w:id="10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触发条件</w:t>
            </w:r>
          </w:p>
          <w:bookmarkEnd w:id="102"/>
        </w:tc>
        <w:tc>
          <w:tcPr>
            <w:tcW w:w="340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25be4a6" w:id="10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控制目标</w:t>
            </w:r>
          </w:p>
          <w:bookmarkEnd w:id="103"/>
        </w:tc>
        <w:tc>
          <w:tcPr>
            <w:tcW w:w="345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d2e7d23" w:id="10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切换时间</w:t>
            </w:r>
          </w:p>
          <w:bookmarkEnd w:id="104"/>
        </w:tc>
      </w:tr>
      <w:tr>
        <w:trPr>
          <w:trHeight w:val="495" w:hRule="atLeast"/>
        </w:trPr>
        <w:tc>
          <w:tcPr>
            <w:tcW w:w="337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1afbaf7" w:id="10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并网模式</w:t>
            </w:r>
          </w:p>
          <w:bookmarkEnd w:id="105"/>
        </w:tc>
        <w:tc>
          <w:tcPr>
            <w:tcW w:w="339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7a10ec5" w:id="10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电网正常</w:t>
            </w:r>
          </w:p>
          <w:bookmarkEnd w:id="106"/>
        </w:tc>
        <w:tc>
          <w:tcPr>
            <w:tcW w:w="340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7c68f9d" w:id="10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经济最优（套利+消纳）</w:t>
            </w:r>
          </w:p>
          <w:bookmarkEnd w:id="107"/>
        </w:tc>
        <w:tc>
          <w:tcPr>
            <w:tcW w:w="345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7392d1a" w:id="10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—</w:t>
            </w:r>
          </w:p>
          <w:bookmarkEnd w:id="108"/>
        </w:tc>
      </w:tr>
      <w:tr>
        <w:trPr>
          <w:trHeight w:val="495" w:hRule="atLeast"/>
        </w:trPr>
        <w:tc>
          <w:tcPr>
            <w:tcW w:w="337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cc9bf96" w:id="10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孤岛切换</w:t>
            </w:r>
          </w:p>
          <w:bookmarkEnd w:id="109"/>
        </w:tc>
        <w:tc>
          <w:tcPr>
            <w:tcW w:w="339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cabac60" w:id="11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电网故障/越限</w:t>
            </w:r>
          </w:p>
          <w:bookmarkEnd w:id="110"/>
        </w:tc>
        <w:tc>
          <w:tcPr>
            <w:tcW w:w="340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02ebb67" w:id="11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保供电</w:t>
            </w:r>
          </w:p>
          <w:bookmarkEnd w:id="111"/>
        </w:tc>
        <w:tc>
          <w:tcPr>
            <w:tcW w:w="345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e3b91f0" w:id="11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≤ 20ms</w:t>
            </w:r>
          </w:p>
          <w:bookmarkEnd w:id="112"/>
        </w:tc>
      </w:tr>
      <w:tr>
        <w:trPr>
          <w:trHeight w:val="495" w:hRule="atLeast"/>
        </w:trPr>
        <w:tc>
          <w:tcPr>
            <w:tcW w:w="337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338ab4c" w:id="11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孤岛运行</w:t>
            </w:r>
          </w:p>
          <w:bookmarkEnd w:id="113"/>
        </w:tc>
        <w:tc>
          <w:tcPr>
            <w:tcW w:w="339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05648a6" w:id="11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电网不可用</w:t>
            </w:r>
          </w:p>
          <w:bookmarkEnd w:id="114"/>
        </w:tc>
        <w:tc>
          <w:tcPr>
            <w:tcW w:w="340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32408e3" w:id="11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最大化供电时长</w:t>
            </w:r>
          </w:p>
          <w:bookmarkEnd w:id="115"/>
        </w:tc>
        <w:tc>
          <w:tcPr>
            <w:tcW w:w="345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c97227e" w:id="11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—</w:t>
            </w:r>
          </w:p>
          <w:bookmarkEnd w:id="116"/>
        </w:tc>
      </w:tr>
      <w:tr>
        <w:trPr>
          <w:trHeight w:val="495" w:hRule="atLeast"/>
        </w:trPr>
        <w:tc>
          <w:tcPr>
            <w:tcW w:w="337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bb26731" w:id="11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并网恢复</w:t>
            </w:r>
          </w:p>
          <w:bookmarkEnd w:id="117"/>
        </w:tc>
        <w:tc>
          <w:tcPr>
            <w:tcW w:w="339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8ebcf0c" w:id="11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电网恢复+同期满足</w:t>
            </w:r>
          </w:p>
          <w:bookmarkEnd w:id="118"/>
        </w:tc>
        <w:tc>
          <w:tcPr>
            <w:tcW w:w="340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ccd6382" w:id="11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平滑过渡</w:t>
            </w:r>
          </w:p>
          <w:bookmarkEnd w:id="119"/>
        </w:tc>
        <w:tc>
          <w:tcPr>
            <w:tcW w:w="345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14011f1" w:id="12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≤ 5s</w:t>
            </w:r>
          </w:p>
          <w:bookmarkEnd w:id="120"/>
        </w:tc>
      </w:tr>
    </w:tbl>
    <w:bookmarkEnd w:id="100"/>
    <w:bookmarkStart w:name="JiMrq" w:id="121"/>
    <w:p>
      <w:pPr>
        <w:spacing w:line="360" w:lineRule="auto" w:beforeLines="100" w:after="50"/>
        <w:ind w:left="0"/>
      </w:pPr>
      <w:r>
        <w:rPr>
          <w:rFonts w:eastAsia="宋体" w:ascii="宋体"/>
        </w:rPr>
        <w:pict>
          <v:rect style="width:0;height:1.5pt" id="_x0000_i1025" o:hr="t" o:hrstd="t" o:hralign="center" stroked="f" fillcolor="#a0a0a0"/>
        </w:pict>
      </w:r>
    </w:p>
    <w:bookmarkEnd w:id="121"/>
    <w:bookmarkStart w:name="w4kqh" w:id="122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Q8：四大智能体各自做什么？如何协同工作？</w:t>
      </w:r>
    </w:p>
    <w:bookmarkEnd w:id="122"/>
    <w:bookmarkStart w:name="uf553911b" w:id="12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轨物 EMS 的核心差异在于将 AI 智能体架构引入工业能源调度场景。四个 Agent 各自负责一个独立领域，通过统一数据中台共享信息、协同决策。</w:t>
      </w:r>
    </w:p>
    <w:bookmarkEnd w:id="123"/>
    <w:bookmarkStart w:name="u3e2c5a68" w:id="12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调度 Agent 是系统的决策核心，负责光伏储能协同优化和充放电计划制定。它每 15 分钟滚动执行一次优化计算，考虑因素最多——光伏预测、负荷预测、电价信号、储能寿命、需量约束。调度 Agent 输出的充放电计划交给 PCS 执行。</w:t>
      </w:r>
    </w:p>
    <w:bookmarkEnd w:id="124"/>
    <w:bookmarkStart w:name="u5e7c177e" w:id="1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需量 Agent 是一个高频运行的守护角色。它不参与经济决策，只管一件事——确保关口功率不对突破历史峰值。当调度 Agent 的策略可能导致需量超标时，需量 Agent 拥有否决权和临机处置权。</w:t>
      </w:r>
    </w:p>
    <w:bookmarkEnd w:id="125"/>
    <w:bookmarkStart w:name="u92b993c7" w:id="12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碳核算 Agent 是一个"记录员"角色，以 15 分钟分辨率逐时段追踪每度电的碳属性。它不参与控制决策，但其输出的碳排报告直接影响交易 Agent 的绿证购买策略。</w:t>
      </w:r>
    </w:p>
    <w:bookmarkEnd w:id="126"/>
    <w:bookmarkStart w:name="uebc347ee" w:id="12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交易 Agent 负责对外——对接电力现货市场报价、需求响应邀约和绿证交易平台。当日前市场电价异常走高时，交易 Agent 通知调度 Agent 调整次日策略，将部分放电计划从峰谷套利切换为现货市场套利。</w:t>
      </w:r>
    </w:p>
    <w:bookmarkEnd w:id="127"/>
    <w:bookmarkStart w:name="u19a124f7" w:id="12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四个 Agent 的协作不是简单的串行流水线，而是信息共享、互为约束的并行协作——调度 Agent 在制定策略时已经预判了需量 Agent 的反应，交易 Agent 在参与市场时已经参考了碳核算 Agent 的绿电消纳数据。</w:t>
      </w:r>
    </w:p>
    <w:bookmarkEnd w:id="128"/>
    <w:bookmarkStart w:name="p7anV" w:id="129"/>
    <w:p>
      <w:pPr>
        <w:spacing w:line="360" w:lineRule="auto" w:beforeLines="100" w:after="50"/>
        <w:ind w:left="0"/>
      </w:pPr>
      <w:r>
        <w:rPr>
          <w:rFonts w:eastAsia="宋体" w:ascii="宋体"/>
        </w:rPr>
        <w:pict>
          <v:rect style="width:0;height:1.5pt" id="_x0000_i1025" o:hr="t" o:hrstd="t" o:hralign="center" stroked="f" fillcolor="#a0a0a0"/>
        </w:pict>
      </w:r>
    </w:p>
    <w:bookmarkEnd w:id="129"/>
    <w:bookmarkStart w:name="KpSFP" w:id="130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Q9：系统部署需要哪些硬件？如何与现有设备对接？</w:t>
      </w:r>
    </w:p>
    <w:bookmarkEnd w:id="130"/>
    <w:bookmarkStart w:name="uef6978d6" w:id="13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部署 EMS 不需要大规模硬件改造——这是很多客户最关心的问题。轨物 EMS 对接入设备的唯一要求是"有通讯接口"——光伏逆变器通过 RS-485 或以太网对接，储能 PCS 通过 Modbus TCP 或 IEC 61850 对接，电表和关口计量通过 DL/T 645 或 Modbus 对接，空调和充电桩等柔性负荷通过边缘网关间接接入。</w:t>
      </w:r>
    </w:p>
    <w:bookmarkEnd w:id="131"/>
    <w:bookmarkStart w:name="u72e875b1" w:id="13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对于多品牌、多型号混装的园区，轨物 EMS 的协议适配层已内置华为、阳光电源、锦浪、古瑞瓦特、固德威等主流逆变器品牌和多家 PCS 厂商的通讯协议库，上电自动识别型号和通讯参数。新增设备只需在平台录入设备类型和通讯地址，系统自动完成适配。</w:t>
      </w:r>
    </w:p>
    <w:bookmarkEnd w:id="132"/>
    <w:bookmarkStart w:name="uef086507" w:id="13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需要新增的硬件仅包括边缘网关和少量传感器。边缘网关部署于配电房，通过 RS-485 汇聚各回路数据后以太网上传至 EMS 云平台。如果园区已有电力监控系统，EMS 可通过 API 或数据库对接获取已有数据，进一步减少新增硬件投入。</w:t>
      </w:r>
    </w:p>
    <w:bookmarkEnd w:id="133"/>
    <w:bookmarkStart w:name="HqgrM" w:id="134"/>
    <w:p>
      <w:pPr>
        <w:spacing w:line="360" w:lineRule="auto" w:beforeLines="100" w:after="50"/>
        <w:ind w:left="0"/>
      </w:pPr>
      <w:r>
        <w:rPr>
          <w:rFonts w:eastAsia="宋体" w:ascii="宋体"/>
        </w:rPr>
        <w:pict>
          <v:rect style="width:0;height:1.5pt" id="_x0000_i1025" o:hr="t" o:hrstd="t" o:hralign="center" stroked="f" fillcolor="#a0a0a0"/>
        </w:pict>
      </w:r>
    </w:p>
    <w:bookmarkEnd w:id="134"/>
    <w:bookmarkStart w:name="ylcEu" w:id="135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Q10：系统核心平台的技术参数是什么？</w:t>
      </w:r>
    </w:p>
    <w:bookmarkEnd w:id="135"/>
    <w:bookmarkStart w:name="EoOag" w:id="136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4476"/>
        <w:gridCol w:w="4477"/>
        <w:gridCol w:w="4681"/>
      </w:tblGrid>
      <w:tr>
        <w:trPr>
          <w:trHeight w:val="495" w:hRule="atLeast"/>
        </w:trPr>
        <w:tc>
          <w:tcPr>
            <w:tcW w:w="447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1cd2b98" w:id="13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类别</w:t>
            </w:r>
          </w:p>
          <w:bookmarkEnd w:id="137"/>
        </w:tc>
        <w:tc>
          <w:tcPr>
            <w:tcW w:w="447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920dc53" w:id="13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参数项</w:t>
            </w:r>
          </w:p>
          <w:bookmarkEnd w:id="138"/>
        </w:tc>
        <w:tc>
          <w:tcPr>
            <w:tcW w:w="46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624d051" w:id="13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技术指标</w:t>
            </w:r>
          </w:p>
          <w:bookmarkEnd w:id="139"/>
        </w:tc>
      </w:tr>
      <w:tr>
        <w:trPr>
          <w:trHeight w:val="495" w:hRule="atLeast"/>
        </w:trPr>
        <w:tc>
          <w:tcPr>
            <w:tcW w:w="447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894a673" w:id="14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系统架构</w:t>
            </w:r>
          </w:p>
          <w:bookmarkEnd w:id="140"/>
        </w:tc>
        <w:tc>
          <w:tcPr>
            <w:tcW w:w="447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3afbef8" w:id="14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部署方式</w:t>
            </w:r>
          </w:p>
          <w:bookmarkEnd w:id="141"/>
        </w:tc>
        <w:tc>
          <w:tcPr>
            <w:tcW w:w="46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2c8f7e5" w:id="14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云原生 · 微服务 · 私有云/混合云</w:t>
            </w:r>
          </w:p>
          <w:bookmarkEnd w:id="142"/>
        </w:tc>
      </w:tr>
      <w:tr>
        <w:trPr>
          <w:trHeight w:val="495" w:hRule="atLeast"/>
        </w:trPr>
        <w:tc>
          <w:tcPr>
            <w:tcW w:w="447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d4e16e6" w:id="14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系统架构</w:t>
            </w:r>
          </w:p>
          <w:bookmarkEnd w:id="143"/>
        </w:tc>
        <w:tc>
          <w:tcPr>
            <w:tcW w:w="447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c4867a9" w:id="14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可用性</w:t>
            </w:r>
          </w:p>
          <w:bookmarkEnd w:id="144"/>
        </w:tc>
        <w:tc>
          <w:tcPr>
            <w:tcW w:w="46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6a6313b" w:id="14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99.9% · 7×24h</w:t>
            </w:r>
          </w:p>
          <w:bookmarkEnd w:id="145"/>
        </w:tc>
      </w:tr>
      <w:tr>
        <w:trPr>
          <w:trHeight w:val="495" w:hRule="atLeast"/>
        </w:trPr>
        <w:tc>
          <w:tcPr>
            <w:tcW w:w="447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aba7adc" w:id="14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系统架构</w:t>
            </w:r>
          </w:p>
          <w:bookmarkEnd w:id="146"/>
        </w:tc>
        <w:tc>
          <w:tcPr>
            <w:tcW w:w="447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6a3178e" w:id="14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弹性伸缩</w:t>
            </w:r>
          </w:p>
          <w:bookmarkEnd w:id="147"/>
        </w:tc>
        <w:tc>
          <w:tcPr>
            <w:tcW w:w="46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66969a4" w:id="14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✅</w:t>
            </w: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 xml:space="preserve"> 自适应扩缩容</w:t>
            </w:r>
          </w:p>
          <w:bookmarkEnd w:id="148"/>
        </w:tc>
      </w:tr>
      <w:tr>
        <w:trPr>
          <w:trHeight w:val="495" w:hRule="atLeast"/>
        </w:trPr>
        <w:tc>
          <w:tcPr>
            <w:tcW w:w="447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3a1ebd9" w:id="14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调度策略</w:t>
            </w:r>
          </w:p>
          <w:bookmarkEnd w:id="149"/>
        </w:tc>
        <w:tc>
          <w:tcPr>
            <w:tcW w:w="447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dd38b76" w:id="15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优化周期</w:t>
            </w:r>
          </w:p>
          <w:bookmarkEnd w:id="150"/>
        </w:tc>
        <w:tc>
          <w:tcPr>
            <w:tcW w:w="46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554d985" w:id="15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15 分钟滚动</w:t>
            </w:r>
          </w:p>
          <w:bookmarkEnd w:id="151"/>
        </w:tc>
      </w:tr>
      <w:tr>
        <w:trPr>
          <w:trHeight w:val="495" w:hRule="atLeast"/>
        </w:trPr>
        <w:tc>
          <w:tcPr>
            <w:tcW w:w="447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00d460d" w:id="15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调度策略</w:t>
            </w:r>
          </w:p>
          <w:bookmarkEnd w:id="152"/>
        </w:tc>
        <w:tc>
          <w:tcPr>
            <w:tcW w:w="447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22e7a22" w:id="15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求解时间</w:t>
            </w:r>
          </w:p>
          <w:bookmarkEnd w:id="153"/>
        </w:tc>
        <w:tc>
          <w:tcPr>
            <w:tcW w:w="46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2d179b8" w:id="15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≤ 10 秒</w:t>
            </w:r>
          </w:p>
          <w:bookmarkEnd w:id="154"/>
        </w:tc>
      </w:tr>
      <w:tr>
        <w:trPr>
          <w:trHeight w:val="495" w:hRule="atLeast"/>
        </w:trPr>
        <w:tc>
          <w:tcPr>
            <w:tcW w:w="447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41e1b81" w:id="15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调度策略</w:t>
            </w:r>
          </w:p>
          <w:bookmarkEnd w:id="155"/>
        </w:tc>
        <w:tc>
          <w:tcPr>
            <w:tcW w:w="447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0ea82e4" w:id="15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内置策略</w:t>
            </w:r>
          </w:p>
          <w:bookmarkEnd w:id="156"/>
        </w:tc>
        <w:tc>
          <w:tcPr>
            <w:tcW w:w="46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931c029" w:id="15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峰谷套利/需量管理/光伏消纳/离网备电</w:t>
            </w:r>
          </w:p>
          <w:bookmarkEnd w:id="157"/>
        </w:tc>
      </w:tr>
      <w:tr>
        <w:trPr>
          <w:trHeight w:val="495" w:hRule="atLeast"/>
        </w:trPr>
        <w:tc>
          <w:tcPr>
            <w:tcW w:w="447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f7361ac" w:id="15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需量控制</w:t>
            </w:r>
          </w:p>
          <w:bookmarkEnd w:id="158"/>
        </w:tc>
        <w:tc>
          <w:tcPr>
            <w:tcW w:w="447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49e12a7" w:id="15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监测频率</w:t>
            </w:r>
          </w:p>
          <w:bookmarkEnd w:id="159"/>
        </w:tc>
        <w:tc>
          <w:tcPr>
            <w:tcW w:w="46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aed15d8" w:id="16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15 秒扫描</w:t>
            </w:r>
          </w:p>
          <w:bookmarkEnd w:id="160"/>
        </w:tc>
      </w:tr>
      <w:tr>
        <w:trPr>
          <w:trHeight w:val="495" w:hRule="atLeast"/>
        </w:trPr>
        <w:tc>
          <w:tcPr>
            <w:tcW w:w="447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7758851" w:id="16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需量控制</w:t>
            </w:r>
          </w:p>
          <w:bookmarkEnd w:id="161"/>
        </w:tc>
        <w:tc>
          <w:tcPr>
            <w:tcW w:w="447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23f4542" w:id="16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响应时间</w:t>
            </w:r>
          </w:p>
          <w:bookmarkEnd w:id="162"/>
        </w:tc>
        <w:tc>
          <w:tcPr>
            <w:tcW w:w="46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1b0e943" w:id="16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≤ 500ms</w:t>
            </w:r>
          </w:p>
          <w:bookmarkEnd w:id="163"/>
        </w:tc>
      </w:tr>
      <w:tr>
        <w:trPr>
          <w:trHeight w:val="495" w:hRule="atLeast"/>
        </w:trPr>
        <w:tc>
          <w:tcPr>
            <w:tcW w:w="447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fb0845b" w:id="16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碳核算</w:t>
            </w:r>
          </w:p>
          <w:bookmarkEnd w:id="164"/>
        </w:tc>
        <w:tc>
          <w:tcPr>
            <w:tcW w:w="447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e06300f" w:id="16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核算粒度</w:t>
            </w:r>
          </w:p>
          <w:bookmarkEnd w:id="165"/>
        </w:tc>
        <w:tc>
          <w:tcPr>
            <w:tcW w:w="46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494b6b0" w:id="16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15 分钟</w:t>
            </w:r>
          </w:p>
          <w:bookmarkEnd w:id="166"/>
        </w:tc>
      </w:tr>
      <w:tr>
        <w:trPr>
          <w:trHeight w:val="495" w:hRule="atLeast"/>
        </w:trPr>
        <w:tc>
          <w:tcPr>
            <w:tcW w:w="447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739758c" w:id="16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碳核算</w:t>
            </w:r>
          </w:p>
          <w:bookmarkEnd w:id="167"/>
        </w:tc>
        <w:tc>
          <w:tcPr>
            <w:tcW w:w="447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83767a1" w:id="16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报告标准</w:t>
            </w:r>
          </w:p>
          <w:bookmarkEnd w:id="168"/>
        </w:tc>
        <w:tc>
          <w:tcPr>
            <w:tcW w:w="46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ecb8d5b" w:id="16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ISO 14064</w:t>
            </w:r>
          </w:p>
          <w:bookmarkEnd w:id="169"/>
        </w:tc>
      </w:tr>
      <w:tr>
        <w:trPr>
          <w:trHeight w:val="495" w:hRule="atLeast"/>
        </w:trPr>
        <w:tc>
          <w:tcPr>
            <w:tcW w:w="447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5372cc7" w:id="17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设备接入</w:t>
            </w:r>
          </w:p>
          <w:bookmarkEnd w:id="170"/>
        </w:tc>
        <w:tc>
          <w:tcPr>
            <w:tcW w:w="447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b6fc417" w:id="17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协议</w:t>
            </w:r>
          </w:p>
          <w:bookmarkEnd w:id="171"/>
        </w:tc>
        <w:tc>
          <w:tcPr>
            <w:tcW w:w="46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6969390" w:id="17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Modbus/IEC 61850/IEC 104/DL/T 645</w:t>
            </w:r>
          </w:p>
          <w:bookmarkEnd w:id="172"/>
        </w:tc>
      </w:tr>
      <w:tr>
        <w:trPr>
          <w:trHeight w:val="495" w:hRule="atLeast"/>
        </w:trPr>
        <w:tc>
          <w:tcPr>
            <w:tcW w:w="447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9d28181" w:id="17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设备接入</w:t>
            </w:r>
          </w:p>
          <w:bookmarkEnd w:id="173"/>
        </w:tc>
        <w:tc>
          <w:tcPr>
            <w:tcW w:w="447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792d794" w:id="17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逆变器品牌</w:t>
            </w:r>
          </w:p>
          <w:bookmarkEnd w:id="174"/>
        </w:tc>
        <w:tc>
          <w:tcPr>
            <w:tcW w:w="46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bd0ec28" w:id="17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华为/阳光/锦浪/固德威/古瑞瓦特等</w:t>
            </w:r>
          </w:p>
          <w:bookmarkEnd w:id="175"/>
        </w:tc>
      </w:tr>
      <w:tr>
        <w:trPr>
          <w:trHeight w:val="495" w:hRule="atLeast"/>
        </w:trPr>
        <w:tc>
          <w:tcPr>
            <w:tcW w:w="447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11c156a" w:id="17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交互层</w:t>
            </w:r>
          </w:p>
          <w:bookmarkEnd w:id="176"/>
        </w:tc>
        <w:tc>
          <w:tcPr>
            <w:tcW w:w="447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158deb4" w:id="17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大屏</w:t>
            </w:r>
          </w:p>
          <w:bookmarkEnd w:id="177"/>
        </w:tc>
        <w:tc>
          <w:tcPr>
            <w:tcW w:w="46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5e6fc0f" w:id="17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驾驶舱+GIS+3D</w:t>
            </w:r>
          </w:p>
          <w:bookmarkEnd w:id="178"/>
        </w:tc>
      </w:tr>
      <w:tr>
        <w:trPr>
          <w:trHeight w:val="495" w:hRule="atLeast"/>
        </w:trPr>
        <w:tc>
          <w:tcPr>
            <w:tcW w:w="447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1e463b5" w:id="17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交互层</w:t>
            </w:r>
          </w:p>
          <w:bookmarkEnd w:id="179"/>
        </w:tc>
        <w:tc>
          <w:tcPr>
            <w:tcW w:w="447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1fed212" w:id="18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移动端</w:t>
            </w:r>
          </w:p>
          <w:bookmarkEnd w:id="180"/>
        </w:tc>
        <w:tc>
          <w:tcPr>
            <w:tcW w:w="46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d3499bb" w:id="18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APP · iOS+Android</w:t>
            </w:r>
          </w:p>
          <w:bookmarkEnd w:id="181"/>
        </w:tc>
      </w:tr>
      <w:tr>
        <w:trPr>
          <w:trHeight w:val="495" w:hRule="atLeast"/>
        </w:trPr>
        <w:tc>
          <w:tcPr>
            <w:tcW w:w="447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126fab9" w:id="18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数据存储</w:t>
            </w:r>
          </w:p>
          <w:bookmarkEnd w:id="182"/>
        </w:tc>
        <w:tc>
          <w:tcPr>
            <w:tcW w:w="447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f6e9f2f" w:id="18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历史归档</w:t>
            </w:r>
          </w:p>
          <w:bookmarkEnd w:id="183"/>
        </w:tc>
        <w:tc>
          <w:tcPr>
            <w:tcW w:w="46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15ac4af" w:id="18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≥ 3 年</w:t>
            </w:r>
          </w:p>
          <w:bookmarkEnd w:id="184"/>
        </w:tc>
      </w:tr>
    </w:tbl>
    <w:bookmarkEnd w:id="136"/>
    <w:bookmarkStart w:name="pnJlZ" w:id="185"/>
    <w:p>
      <w:pPr>
        <w:spacing w:line="360" w:lineRule="auto" w:beforeLines="100" w:after="50"/>
        <w:ind w:left="0"/>
      </w:pPr>
      <w:r>
        <w:rPr>
          <w:rFonts w:eastAsia="宋体" w:ascii="宋体"/>
        </w:rPr>
        <w:pict>
          <v:rect style="width:0;height:1.5pt" id="_x0000_i1025" o:hr="t" o:hrstd="t" o:hralign="center" stroked="f" fillcolor="#a0a0a0"/>
        </w:pict>
      </w:r>
    </w:p>
    <w:bookmarkEnd w:id="185"/>
    <w:bookmarkStart w:name="GrjX2" w:id="186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Q11：EMS 如何保障储能电池的安全？</w:t>
      </w:r>
    </w:p>
    <w:bookmarkEnd w:id="186"/>
    <w:bookmarkStart w:name="uab8af740" w:id="18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储能安全是 EMS 的最高优先级——任何优化策略必须在安全边界内执行。EMS 构建了三层保护机制。</w:t>
      </w:r>
    </w:p>
    <w:bookmarkEnd w:id="187"/>
    <w:bookmarkStart w:name="uf5b5791a" w:id="18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第一层是 EMS 层面的调度约束。调度 Agent 在每次优化计算时强制遵守 SOC 保护上下限和单次充放电深度限制，禁止任何可能损害电池寿命的极端策略。这一层是预防性的。</w:t>
      </w:r>
    </w:p>
    <w:bookmarkEnd w:id="188"/>
    <w:bookmarkStart w:name="ua3e984a7" w:id="18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第二层是边缘管理机的本地保护。当 EMS 与储能柜之间的通讯中断时，部署在储能柜内部的管理机按照最后接收的安全阈值独立运行，检测到电池过温、过压或通讯异常时自主执行降功率或停机保护。这一层不依赖云平台在线。</w:t>
      </w:r>
    </w:p>
    <w:bookmarkEnd w:id="189"/>
    <w:bookmarkStart w:name="u06815a02" w:id="19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第三层是 BMS 本身的硬件级保护。当电池单体电压或温度越过 BMS 的最终安全红线时，BMS 直接断开接触器，这一层的响应速度在毫秒级。</w:t>
      </w:r>
    </w:p>
    <w:bookmarkEnd w:id="190"/>
    <w:bookmarkStart w:name="u2f14f7a1" w:id="19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三层之间是信息共享和互为备份的关系——上层策略约束不了的极端情况由下层保护兜底，下层保护触发后信息反馈给上层用于策略调整。</w:t>
      </w:r>
    </w:p>
    <w:bookmarkEnd w:id="191"/>
    <w:bookmarkStart w:name="zD9Ez" w:id="192"/>
    <w:p>
      <w:pPr>
        <w:spacing w:line="360" w:lineRule="auto" w:beforeLines="100" w:after="50"/>
        <w:ind w:left="0"/>
      </w:pPr>
      <w:r>
        <w:rPr>
          <w:rFonts w:eastAsia="宋体" w:ascii="宋体"/>
        </w:rPr>
        <w:pict>
          <v:rect style="width:0;height:1.5pt" id="_x0000_i1025" o:hr="t" o:hrstd="t" o:hralign="center" stroked="f" fillcolor="#a0a0a0"/>
        </w:pict>
      </w:r>
    </w:p>
    <w:bookmarkEnd w:id="192"/>
    <w:bookmarkStart w:name="PRJgs" w:id="193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Q12：与园区现有的电力监控和能源管理系统是什么关系？</w:t>
      </w:r>
    </w:p>
    <w:bookmarkEnd w:id="193"/>
    <w:bookmarkStart w:name="ub2158098" w:id="19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不是替代关系，是赋能关系。园区已有的电力监控系统可以继续作为数据采集层运行，EMS 通过 API 或数据库对接获取数据，在此基础上叠加优化调度、需量控制和碳核算等高级功能。</w:t>
      </w:r>
    </w:p>
    <w:bookmarkEnd w:id="194"/>
    <w:bookmarkStart w:name="ufe3ec4bd" w:id="19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如果园区没有建设电力监控系统，轨物 EMS 自带完整的数据采集和可视化能力，一个平台完成从数据采集到智能决策的全部功能。</w:t>
      </w:r>
    </w:p>
    <w:bookmarkEnd w:id="195"/>
    <w:bookmarkStart w:name="u965750cd" w:id="19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对于已经建设了能源管理平台的园区，EMS 可以作为其调度决策引擎嵌入——EMS 提供优化计算能力，能源管理平台负责业务流程和用户交互。两者通过标准化 API 对接，数据流双向同步。</w:t>
      </w:r>
    </w:p>
    <w:bookmarkEnd w:id="196"/>
    <w:bookmarkStart w:name="Qycpe" w:id="197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4574"/>
        <w:gridCol w:w="4521"/>
        <w:gridCol w:w="4539"/>
      </w:tblGrid>
      <w:tr>
        <w:trPr>
          <w:trHeight w:val="495" w:hRule="atLeast"/>
        </w:trPr>
        <w:tc>
          <w:tcPr>
            <w:tcW w:w="457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d7b9b8d" w:id="19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部署场景</w:t>
            </w:r>
          </w:p>
          <w:bookmarkEnd w:id="198"/>
        </w:tc>
        <w:tc>
          <w:tcPr>
            <w:tcW w:w="452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e80e694" w:id="19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轨物 EMS 角色</w:t>
            </w:r>
          </w:p>
          <w:bookmarkEnd w:id="199"/>
        </w:tc>
        <w:tc>
          <w:tcPr>
            <w:tcW w:w="453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db1e5ed" w:id="20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与现有系统关系</w:t>
            </w:r>
          </w:p>
          <w:bookmarkEnd w:id="200"/>
        </w:tc>
      </w:tr>
      <w:tr>
        <w:trPr>
          <w:trHeight w:val="495" w:hRule="atLeast"/>
        </w:trPr>
        <w:tc>
          <w:tcPr>
            <w:tcW w:w="457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6468be6" w:id="20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无任何系统</w:t>
            </w:r>
          </w:p>
          <w:bookmarkEnd w:id="201"/>
        </w:tc>
        <w:tc>
          <w:tcPr>
            <w:tcW w:w="452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a85642d" w:id="20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全功能平台</w:t>
            </w:r>
          </w:p>
          <w:bookmarkEnd w:id="202"/>
        </w:tc>
        <w:tc>
          <w:tcPr>
            <w:tcW w:w="453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8470a1d" w:id="20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一站式</w:t>
            </w:r>
          </w:p>
          <w:bookmarkEnd w:id="203"/>
        </w:tc>
      </w:tr>
      <w:tr>
        <w:trPr>
          <w:trHeight w:val="495" w:hRule="atLeast"/>
        </w:trPr>
        <w:tc>
          <w:tcPr>
            <w:tcW w:w="457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6c765e3" w:id="20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已有电力监控</w:t>
            </w:r>
          </w:p>
          <w:bookmarkEnd w:id="204"/>
        </w:tc>
        <w:tc>
          <w:tcPr>
            <w:tcW w:w="452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97c3fc4" w:id="20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上层智能决策引擎</w:t>
            </w:r>
          </w:p>
          <w:bookmarkEnd w:id="205"/>
        </w:tc>
        <w:tc>
          <w:tcPr>
            <w:tcW w:w="453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1758368" w:id="20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API 对接</w:t>
            </w:r>
          </w:p>
          <w:bookmarkEnd w:id="206"/>
        </w:tc>
      </w:tr>
      <w:tr>
        <w:trPr>
          <w:trHeight w:val="495" w:hRule="atLeast"/>
        </w:trPr>
        <w:tc>
          <w:tcPr>
            <w:tcW w:w="457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b3f828e" w:id="20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已有能源管理平台</w:t>
            </w:r>
          </w:p>
          <w:bookmarkEnd w:id="207"/>
        </w:tc>
        <w:tc>
          <w:tcPr>
            <w:tcW w:w="452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f18c7f1" w:id="20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嵌入式调度引擎</w:t>
            </w:r>
          </w:p>
          <w:bookmarkEnd w:id="208"/>
        </w:tc>
        <w:tc>
          <w:tcPr>
            <w:tcW w:w="453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6ad9d69" w:id="20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API 双向同步</w:t>
            </w:r>
          </w:p>
          <w:bookmarkEnd w:id="209"/>
        </w:tc>
      </w:tr>
      <w:tr>
        <w:trPr>
          <w:trHeight w:val="495" w:hRule="atLeast"/>
        </w:trPr>
        <w:tc>
          <w:tcPr>
            <w:tcW w:w="457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7d06109" w:id="21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已有 SCADA</w:t>
            </w:r>
          </w:p>
          <w:bookmarkEnd w:id="210"/>
        </w:tc>
        <w:tc>
          <w:tcPr>
            <w:tcW w:w="452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f53dfa4" w:id="21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调度+碳核算层</w:t>
            </w:r>
          </w:p>
          <w:bookmarkEnd w:id="211"/>
        </w:tc>
        <w:tc>
          <w:tcPr>
            <w:tcW w:w="453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5d53d46" w:id="21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IEC 61850 对接</w:t>
            </w:r>
          </w:p>
          <w:bookmarkEnd w:id="212"/>
        </w:tc>
      </w:tr>
    </w:tbl>
    <w:bookmarkEnd w:id="197"/>
    <w:bookmarkStart w:name="jfbGY" w:id="213"/>
    <w:p>
      <w:pPr>
        <w:spacing w:line="360" w:lineRule="auto" w:beforeLines="100" w:after="50"/>
        <w:ind w:left="0"/>
      </w:pPr>
      <w:r>
        <w:rPr>
          <w:rFonts w:eastAsia="宋体" w:ascii="宋体"/>
        </w:rPr>
        <w:pict>
          <v:rect style="width:0;height:1.5pt" id="_x0000_i1025" o:hr="t" o:hrstd="t" o:hralign="center" stroked="f" fillcolor="#a0a0a0"/>
        </w:pict>
      </w:r>
    </w:p>
    <w:bookmarkEnd w:id="213"/>
    <w:bookmarkStart w:name="OY9q6" w:id="214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Q13：投资回报周期大概多久？</w:t>
      </w:r>
    </w:p>
    <w:bookmarkEnd w:id="214"/>
    <w:bookmarkStart w:name="u7cd23a12" w:id="21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以一个配置 8.2MW 光伏、5MW/10MWh 储能、年用电量 3,800 万千瓦时的典型制造业园区为参考模型：</w:t>
      </w:r>
    </w:p>
    <w:bookmarkEnd w:id="215"/>
    <w:bookmarkStart w:name="u1549073a" w:id="21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储能峰谷套利是最大的单项收益来源，按两充两放策略，年套利收益约 85 万元。需量控制通过削减峰值降低基本电费，年节省约 29 万元。力调电费罚款的消除——功率因数从不合格的 0.88 提升至 0.95 以上——年节省约 48 万元。光伏弃光率降低带来的增发电量收益约 18 万元。</w:t>
      </w:r>
    </w:p>
    <w:bookmarkEnd w:id="216"/>
    <w:bookmarkStart w:name="u9e4e1ee3" w:id="21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四项合计年节约与增收约 180 万元。EMS 系统软硬件一次性投入约 100 万元，含平台建设、边缘网关部署和系统集成费用。简单回收期约 6.7 个月。如果考虑储能电池在优化策略下寿命延长 30% 以上的隐性收益，全生命周期 ROI 更高。</w:t>
      </w:r>
    </w:p>
    <w:bookmarkEnd w:id="217"/>
    <w:bookmarkStart w:name="XLe1H" w:id="218"/>
    <w:p>
      <w:pPr>
        <w:spacing w:line="360" w:lineRule="auto" w:beforeLines="100" w:after="50"/>
        <w:ind w:left="0"/>
      </w:pPr>
      <w:r>
        <w:rPr>
          <w:rFonts w:eastAsia="宋体" w:ascii="宋体"/>
        </w:rPr>
        <w:pict>
          <v:rect style="width:0;height:1.5pt" id="_x0000_i1025" o:hr="t" o:hrstd="t" o:hralign="center" stroked="f" fillcolor="#a0a0a0"/>
        </w:pict>
      </w:r>
    </w:p>
    <w:bookmarkEnd w:id="218"/>
    <w:bookmarkStart w:name="B0ZVH" w:id="219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Q14：系统对运维人员有什么要求？</w:t>
      </w:r>
    </w:p>
    <w:bookmarkEnd w:id="219"/>
    <w:bookmarkStart w:name="u02f1b30d" w:id="22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轨物 EMS 的一大设计原则是"降低使用门槛，而非增加专业技能要求"。系统的日常操作——查看运行状态、切换调度策略、导出报表——全部通过图形化界面完成，不需要编程或算法知识。</w:t>
      </w:r>
    </w:p>
    <w:bookmarkEnd w:id="220"/>
    <w:bookmarkStart w:name="uae96490e" w:id="22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告警系统自带根因分析和建议处理措施，不像传统监控系统那样只告诉你"功率因数低了"，而是告诉你"功率因数因逆变器无功参数设置过低引起，建议调整至 0.95 滞后模式"。运维人员不需要具备电气工程师水平的诊断能力，按照系统提示操作即可。</w:t>
      </w:r>
    </w:p>
    <w:bookmarkEnd w:id="221"/>
    <w:bookmarkStart w:name="u4728f887" w:id="22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对于想深入定制策略的进阶用户，EMS 提供策略参数配置界面，允许调整储能充放电功率上限、SOC 保护阈值、需量控制目标值等关键参数。对于需要完全自定义策略的用户，轨物提供策略开发工具包和培训服务。</w:t>
      </w:r>
    </w:p>
    <w:bookmarkEnd w:id="222"/>
    <w:bookmarkStart w:name="LJfUC" w:id="223"/>
    <w:p>
      <w:pPr>
        <w:spacing w:line="360" w:lineRule="auto" w:beforeLines="100" w:after="50"/>
        <w:ind w:left="0"/>
      </w:pPr>
      <w:r>
        <w:rPr>
          <w:rFonts w:eastAsia="宋体" w:ascii="宋体"/>
        </w:rPr>
        <w:pict>
          <v:rect style="width:0;height:1.5pt" id="_x0000_i1025" o:hr="t" o:hrstd="t" o:hralign="center" stroked="f" fillcolor="#a0a0a0"/>
        </w:pict>
      </w:r>
    </w:p>
    <w:bookmarkEnd w:id="223"/>
    <w:bookmarkStart w:name="BGETQ" w:id="224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Q15：客户案例和数据验证？</w:t>
      </w:r>
    </w:p>
    <w:bookmarkEnd w:id="224"/>
    <w:bookmarkStart w:name="u0995f30a" w:id="2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轨物 EMS 已在实际园区场景中完成工程验证，以下为典型数据：</w:t>
      </w:r>
    </w:p>
    <w:bookmarkEnd w:id="225"/>
    <w:bookmarkStart w:name="kiiJ2" w:id="226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3336"/>
        <w:gridCol w:w="3409"/>
        <w:gridCol w:w="3436"/>
        <w:gridCol w:w="3453"/>
      </w:tblGrid>
      <w:tr>
        <w:trPr>
          <w:trHeight w:val="495" w:hRule="atLeast"/>
        </w:trPr>
        <w:tc>
          <w:tcPr>
            <w:tcW w:w="33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ff14613" w:id="22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指标</w:t>
            </w:r>
          </w:p>
          <w:bookmarkEnd w:id="227"/>
        </w:tc>
        <w:tc>
          <w:tcPr>
            <w:tcW w:w="340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03d5fa1" w:id="22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实施前</w:t>
            </w:r>
          </w:p>
          <w:bookmarkEnd w:id="228"/>
        </w:tc>
        <w:tc>
          <w:tcPr>
            <w:tcW w:w="34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339c4fc" w:id="22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实施后</w:t>
            </w:r>
          </w:p>
          <w:bookmarkEnd w:id="229"/>
        </w:tc>
        <w:tc>
          <w:tcPr>
            <w:tcW w:w="345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1d2a2a0" w:id="230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变化</w:t>
            </w:r>
          </w:p>
          <w:bookmarkEnd w:id="230"/>
        </w:tc>
      </w:tr>
      <w:tr>
        <w:trPr>
          <w:trHeight w:val="495" w:hRule="atLeast"/>
        </w:trPr>
        <w:tc>
          <w:tcPr>
            <w:tcW w:w="33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1667a66" w:id="23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绿电消纳率</w:t>
            </w:r>
          </w:p>
          <w:bookmarkEnd w:id="231"/>
        </w:tc>
        <w:tc>
          <w:tcPr>
            <w:tcW w:w="340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bf83398" w:id="23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72%</w:t>
            </w:r>
          </w:p>
          <w:bookmarkEnd w:id="232"/>
        </w:tc>
        <w:tc>
          <w:tcPr>
            <w:tcW w:w="34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a71fa8a" w:id="23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92%</w:t>
            </w:r>
          </w:p>
          <w:bookmarkEnd w:id="233"/>
        </w:tc>
        <w:tc>
          <w:tcPr>
            <w:tcW w:w="345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39b4a71" w:id="234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+20%</w:t>
            </w:r>
          </w:p>
          <w:bookmarkEnd w:id="234"/>
        </w:tc>
      </w:tr>
      <w:tr>
        <w:trPr>
          <w:trHeight w:val="495" w:hRule="atLeast"/>
        </w:trPr>
        <w:tc>
          <w:tcPr>
            <w:tcW w:w="33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d0fee72" w:id="23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月均功率因数</w:t>
            </w:r>
          </w:p>
          <w:bookmarkEnd w:id="235"/>
        </w:tc>
        <w:tc>
          <w:tcPr>
            <w:tcW w:w="340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8b0ce56" w:id="23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0.88</w:t>
            </w:r>
          </w:p>
          <w:bookmarkEnd w:id="236"/>
        </w:tc>
        <w:tc>
          <w:tcPr>
            <w:tcW w:w="34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32c7f44" w:id="23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≥ 0.95</w:t>
            </w:r>
          </w:p>
          <w:bookmarkEnd w:id="237"/>
        </w:tc>
        <w:tc>
          <w:tcPr>
            <w:tcW w:w="345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e6f752e" w:id="238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+0.07</w:t>
            </w:r>
          </w:p>
          <w:bookmarkEnd w:id="238"/>
        </w:tc>
      </w:tr>
      <w:tr>
        <w:trPr>
          <w:trHeight w:val="495" w:hRule="atLeast"/>
        </w:trPr>
        <w:tc>
          <w:tcPr>
            <w:tcW w:w="33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c98aaef" w:id="23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年力调罚款</w:t>
            </w:r>
          </w:p>
          <w:bookmarkEnd w:id="239"/>
        </w:tc>
        <w:tc>
          <w:tcPr>
            <w:tcW w:w="340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8674ede" w:id="24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48 万元</w:t>
            </w:r>
          </w:p>
          <w:bookmarkEnd w:id="240"/>
        </w:tc>
        <w:tc>
          <w:tcPr>
            <w:tcW w:w="34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8b3cc1c" w:id="24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0 元</w:t>
            </w:r>
          </w:p>
          <w:bookmarkEnd w:id="241"/>
        </w:tc>
        <w:tc>
          <w:tcPr>
            <w:tcW w:w="345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c29f48e" w:id="242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-100%</w:t>
            </w:r>
          </w:p>
          <w:bookmarkEnd w:id="242"/>
        </w:tc>
      </w:tr>
      <w:tr>
        <w:trPr>
          <w:trHeight w:val="495" w:hRule="atLeast"/>
        </w:trPr>
        <w:tc>
          <w:tcPr>
            <w:tcW w:w="33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bb74c1c" w:id="24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储能年套利收益</w:t>
            </w:r>
          </w:p>
          <w:bookmarkEnd w:id="243"/>
        </w:tc>
        <w:tc>
          <w:tcPr>
            <w:tcW w:w="340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0d935b0" w:id="24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—</w:t>
            </w:r>
          </w:p>
          <w:bookmarkEnd w:id="244"/>
        </w:tc>
        <w:tc>
          <w:tcPr>
            <w:tcW w:w="34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a6f4eff" w:id="24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85 万元</w:t>
            </w:r>
          </w:p>
          <w:bookmarkEnd w:id="245"/>
        </w:tc>
        <w:tc>
          <w:tcPr>
            <w:tcW w:w="345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bbca95f" w:id="246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新增</w:t>
            </w:r>
          </w:p>
          <w:bookmarkEnd w:id="246"/>
        </w:tc>
      </w:tr>
      <w:tr>
        <w:trPr>
          <w:trHeight w:val="495" w:hRule="atLeast"/>
        </w:trPr>
        <w:tc>
          <w:tcPr>
            <w:tcW w:w="33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f10e374" w:id="24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弃光率</w:t>
            </w:r>
          </w:p>
          <w:bookmarkEnd w:id="247"/>
        </w:tc>
        <w:tc>
          <w:tcPr>
            <w:tcW w:w="340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37ca060" w:id="24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28%</w:t>
            </w:r>
          </w:p>
          <w:bookmarkEnd w:id="248"/>
        </w:tc>
        <w:tc>
          <w:tcPr>
            <w:tcW w:w="34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ede109a" w:id="24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≤ 5%</w:t>
            </w:r>
          </w:p>
          <w:bookmarkEnd w:id="249"/>
        </w:tc>
        <w:tc>
          <w:tcPr>
            <w:tcW w:w="345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df8e568" w:id="250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-23%</w:t>
            </w:r>
          </w:p>
          <w:bookmarkEnd w:id="250"/>
        </w:tc>
      </w:tr>
      <w:tr>
        <w:trPr>
          <w:trHeight w:val="495" w:hRule="atLeast"/>
        </w:trPr>
        <w:tc>
          <w:tcPr>
            <w:tcW w:w="33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9835f73" w:id="25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故障响应时间</w:t>
            </w:r>
          </w:p>
          <w:bookmarkEnd w:id="251"/>
        </w:tc>
        <w:tc>
          <w:tcPr>
            <w:tcW w:w="340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7857058" w:id="25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4 小时</w:t>
            </w:r>
          </w:p>
          <w:bookmarkEnd w:id="252"/>
        </w:tc>
        <w:tc>
          <w:tcPr>
            <w:tcW w:w="34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c887449" w:id="25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30 分钟</w:t>
            </w:r>
          </w:p>
          <w:bookmarkEnd w:id="253"/>
        </w:tc>
        <w:tc>
          <w:tcPr>
            <w:tcW w:w="345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c2d5125" w:id="254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-87.5%</w:t>
            </w:r>
          </w:p>
          <w:bookmarkEnd w:id="254"/>
        </w:tc>
      </w:tr>
      <w:tr>
        <w:trPr>
          <w:trHeight w:val="495" w:hRule="atLeast"/>
        </w:trPr>
        <w:tc>
          <w:tcPr>
            <w:tcW w:w="33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9159849" w:id="25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碳核算能力</w:t>
            </w:r>
          </w:p>
          <w:bookmarkEnd w:id="255"/>
        </w:tc>
        <w:tc>
          <w:tcPr>
            <w:tcW w:w="340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54feffb" w:id="25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无</w:t>
            </w:r>
          </w:p>
          <w:bookmarkEnd w:id="256"/>
        </w:tc>
        <w:tc>
          <w:tcPr>
            <w:tcW w:w="34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a3f224e" w:id="25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ISO 14064 合规</w:t>
            </w:r>
          </w:p>
          <w:bookmarkEnd w:id="257"/>
        </w:tc>
        <w:tc>
          <w:tcPr>
            <w:tcW w:w="345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9b3de28" w:id="258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新增</w:t>
            </w:r>
          </w:p>
          <w:bookmarkEnd w:id="258"/>
        </w:tc>
      </w:tr>
      <w:tr>
        <w:trPr>
          <w:trHeight w:val="495" w:hRule="atLeast"/>
        </w:trPr>
        <w:tc>
          <w:tcPr>
            <w:tcW w:w="33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282f1e6" w:id="25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光伏预测精度</w:t>
            </w:r>
          </w:p>
          <w:bookmarkEnd w:id="259"/>
        </w:tc>
        <w:tc>
          <w:tcPr>
            <w:tcW w:w="340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f0cc7a4" w:id="26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—</w:t>
            </w:r>
          </w:p>
          <w:bookmarkEnd w:id="260"/>
        </w:tc>
        <w:tc>
          <w:tcPr>
            <w:tcW w:w="34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1dbc140" w:id="26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≥ 90%</w:t>
            </w:r>
          </w:p>
          <w:bookmarkEnd w:id="261"/>
        </w:tc>
        <w:tc>
          <w:tcPr>
            <w:tcW w:w="345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468a333" w:id="262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—</w:t>
            </w:r>
          </w:p>
          <w:bookmarkEnd w:id="262"/>
        </w:tc>
      </w:tr>
      <w:tr>
        <w:trPr>
          <w:trHeight w:val="495" w:hRule="atLeast"/>
        </w:trPr>
        <w:tc>
          <w:tcPr>
            <w:tcW w:w="33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a508a3b" w:id="26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负荷预测精度</w:t>
            </w:r>
          </w:p>
          <w:bookmarkEnd w:id="263"/>
        </w:tc>
        <w:tc>
          <w:tcPr>
            <w:tcW w:w="340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adcbd6f" w:id="26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—</w:t>
            </w:r>
          </w:p>
          <w:bookmarkEnd w:id="264"/>
        </w:tc>
        <w:tc>
          <w:tcPr>
            <w:tcW w:w="34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5c9104c" w:id="26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≥ 92%</w:t>
            </w:r>
          </w:p>
          <w:bookmarkEnd w:id="265"/>
        </w:tc>
        <w:tc>
          <w:tcPr>
            <w:tcW w:w="345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a1d5458" w:id="266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—</w:t>
            </w:r>
          </w:p>
          <w:bookmarkEnd w:id="266"/>
        </w:tc>
      </w:tr>
    </w:tbl>
    <w:bookmarkEnd w:id="226"/>
    <w:bookmarkStart w:name="u9680ea10" w:id="267"/>
    <w:bookmarkEnd w:id="267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numbering.xml" Type="http://schemas.openxmlformats.org/officeDocument/2006/relationships/numbering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