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【行业动态】OpenAI Astra重磅曝光：自主攻克十大数学难题，一场席卷整个科技行业的范式革命</w:t>
      </w:r>
    </w:p>
    <w:p>
      <w:pPr>
        <w:spacing w:after="50" w:line="360" w:lineRule="auto" w:beforeLines="100"/>
        <w:ind w:left="0"/>
        <w:jc w:val="left"/>
      </w:pPr>
      <w:bookmarkStart w:name="u0cf13d44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1cf5228a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近日，OpenAI下一代内部旗舰模型</w:t>
      </w:r>
      <w:r>
        <w:rPr>
          <w:rFonts w:ascii="宋体" w:hAnsi="Times New Roman" w:eastAsia="宋体"/>
          <w:b/>
          <w:i w:val="false"/>
          <w:color w:val="000000"/>
          <w:sz w:val="22"/>
        </w:rPr>
        <w:t>Astra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相关科研成果正式流出，迅速震动全球科技与学术圈。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和过往所有大模型截然不同：Astra无需人类持续引导、分步提示，依靠长时序自主推理，独立完成10道困扰学界数十年的数学、理论计算机开放难题，全部完整证明依托Lean4形式化验证，整套推导资料开源可复现。完成全部十项重大难题推理，算力总成本仅约2000美元。</w:t>
      </w:r>
    </w:p>
    <w:bookmarkEnd w:id="2"/>
    <w:bookmarkStart w:name="u2a3c46dc" w:id="3"/>
    <w:p>
      <w:pPr>
        <w:spacing w:after="50" w:line="360" w:lineRule="auto" w:beforeLines="100"/>
        <w:ind w:left="0"/>
        <w:jc w:val="left"/>
      </w:pPr>
      <w:bookmarkStart w:name="u1338ec07" w:id="4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d7ff10ad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在此之前，AI长期扮演“辅助工具”：人类搭建思路，机器负责运算、整理、验算。而Astra实现了关键跨越——AI能够自主构造猜想、寻找反例、搭建超长逻辑证明链，独立产出具备原创学术价值的理论结论。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这场突破绝不只是数学圈内的新闻。从基础科研、芯片工业、网络安全，到软件研发、全球AI竞争格局、人工智能监管规则，Astra代表的长时自主智能体浪潮，将全方位重塑科技行业底层逻辑。</w:t>
      </w:r>
    </w:p>
    <w:bookmarkEnd w:id="5"/>
    <w:bookmarkStart w:name="u24d80108" w:id="6"/>
    <w:p>
      <w:pPr>
        <w:spacing w:after="50" w:line="360" w:lineRule="auto" w:beforeLines="100"/>
        <w:ind w:left="0"/>
        <w:jc w:val="left"/>
      </w:pPr>
      <w:bookmarkStart w:name="ua70262ee" w:id="7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e8bccd9e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长久以来，前沿基础数学、理论计算机属于高度精英化赛道。许多开放难题依靠顶尖学者耗费数年乃至数十年持续攻坚，全球能参与顶层理论探索的团队屈指可数。Astra的出现，直接打破这一格局。</w:t>
      </w:r>
    </w:p>
    <w:bookmarkEnd w:id="8"/>
    <w:bookmarkStart w:name="u246df926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首先，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前沿科研试错成本断崖式下降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过去需要顶尖数学家团队数年工作才能推进的理论猜想，如今仅需极低算力成本即可开展大规模探索。高维几何、群论、极值组合、量子复杂度、编码理论等方向大量长期停滞的开放问题，不再是“不敢触碰”的研究禁区。高校、中小型科研团队、独立研究者，都拥有了探索世界级难题的能力，科研资源垄断格局被逐步打破。</w:t>
      </w:r>
    </w:p>
    <w:bookmarkEnd w:id="9"/>
    <w:bookmarkStart w:name="u2ed03273" w:id="10"/>
    <w:p>
      <w:pPr>
        <w:spacing w:after="50" w:line="360" w:lineRule="auto" w:beforeLines="100"/>
        <w:ind w:left="0"/>
        <w:jc w:val="left"/>
      </w:pPr>
      <w:bookmarkStart w:name="u5cc23f17" w:id="11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72ef320b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其次，科研人员的角色将迎来根本性转型。过去，数学家、理论研究者核心价值包含大量复杂推导、逻辑演算工作。未来，冗长、机械的证明推演将大规模交由自主AI完成。人类研究者的核心竞争力，将从“解题者”转向</w:t>
      </w:r>
      <w:r>
        <w:rPr>
          <w:rFonts w:ascii="宋体" w:hAnsi="Times New Roman" w:eastAsia="宋体"/>
          <w:b/>
          <w:i w:val="false"/>
          <w:color w:val="004347"/>
          <w:sz w:val="22"/>
        </w:rPr>
        <w:t>问题提出者、方向决策者、成果筛选者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定义有价值的科学问题、搭建跨学科理论框架、甄别AI海量输出中具备实际价值的结论。</w:t>
      </w:r>
    </w:p>
    <w:bookmarkEnd w:id="12"/>
    <w:bookmarkStart w:name="u9ec3c619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同时，学术评价体系将缓慢调整。依托Lean4形式化证明，AI产出的推导过程可机器核验，规避人工论文普遍存在的逻辑跳步、隐性漏洞。未来顶级学术期刊，或将接纳AI作为研究贡献者；单纯依靠手工推导定理的学术成果稀缺性持续下降，能够融合不同学科、提出颠覆性思想的研究，成为学术界核心稀缺资源。</w:t>
      </w:r>
    </w:p>
    <w:bookmarkEnd w:id="13"/>
    <w:bookmarkStart w:name="ub71c4bbc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当然我们也要客观认清边界：Astra擅长在已有知识体系内延伸推导结论，但暂时无法自主诞生脱离现有学术体系的颠覆性原始猜想。AI是科研协同伙伴，而非人类科学家的完全替代品。</w:t>
      </w:r>
    </w:p>
    <w:bookmarkEnd w:id="14"/>
    <w:bookmarkStart w:name="uc52158eb" w:id="15"/>
    <w:p>
      <w:pPr>
        <w:spacing w:after="50" w:line="360" w:lineRule="auto" w:beforeLines="100"/>
        <w:ind w:left="0"/>
        <w:jc w:val="left"/>
      </w:pPr>
      <w:bookmarkStart w:name="u1a199d1a" w:id="16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9e8f9d26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基础数学是信息技术产业的底层根基。Astra具备的自主理论推导能力，将沿着产业链向上传导，直接影响芯片设计、网络安全、工业软件三大核心赛道。</w:t>
      </w:r>
    </w:p>
    <w:bookmarkEnd w:id="17"/>
    <w:bookmarkStart w:name="G59ia" w:id="1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1. 密码学与网络安全：机遇与危机并存</w:t>
      </w:r>
    </w:p>
    <w:bookmarkEnd w:id="18"/>
    <w:bookmarkStart w:name="ud0df9899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密码体系建立在数论、格理论、复杂度理论之上。一方面，Astra能够自主推演算法边界、寻找数学结构缺陷，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加速密码漏洞挖掘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无论是当下广泛使用的加密方案，还是面向量子时代的后量子密码标准，都将迎来更高强度的自动化安全检测，推动行业淘汰存在潜在缺陷的加密算法，构筑更稳固的数字安全防线。</w:t>
      </w:r>
    </w:p>
    <w:bookmarkEnd w:id="19"/>
    <w:bookmarkStart w:name="u50ab3832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风险同样突出：如果被恶意利用，自主推理AI可以系统性寻找加密协议的理论弱点。全球各国正在推进的后量子密码标准化进程，竞争节奏被迫加快。网络安全行业将形成全新博弈：一边利用AI主动开展安全攻防推演，一边持续升级加密体系抵御AI带来的破解威胁。</w:t>
      </w:r>
    </w:p>
    <w:bookmarkEnd w:id="20"/>
    <w:bookmarkStart w:name="ud421f3c8" w:id="21"/>
    <w:p>
      <w:pPr>
        <w:spacing w:after="50" w:line="360" w:lineRule="auto" w:beforeLines="100"/>
        <w:ind w:left="0"/>
        <w:jc w:val="left"/>
      </w:pPr>
      <w:bookmarkStart w:name="u70f46e0c" w:id="22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xll5R" w:id="2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2. 芯片与硬件设计</w:t>
      </w:r>
    </w:p>
    <w:bookmarkEnd w:id="23"/>
    <w:bookmarkStart w:name="u1a8e4556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高端芯片研发高度依赖形式化验证。芯片一旦出现底层逻辑缺陷，流片损失动辄数千万。Astra强大的形式化推理能力，可以自动验证硬件代码逻辑正确性，减少芯片设计中隐藏的逻辑漏洞，缩短验证周期，降低研发失败风险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除此之外，模型能够自主优化矩阵运算、编码算法、调度逻辑，有望持续提升AI芯片、处理器、通信芯片的底层算法效率，加速下一代算力硬件迭代。</w:t>
      </w:r>
    </w:p>
    <w:bookmarkEnd w:id="24"/>
    <w:bookmarkStart w:name="w8vTr" w:id="2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3. 工业软件与可信程序开发</w:t>
      </w:r>
    </w:p>
    <w:bookmarkEnd w:id="25"/>
    <w:bookmarkStart w:name="uda96d82b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航空航天、自动驾驶、医疗设备等安全关键领域，对软件可靠性有着极致要求。传统方式依靠人力完成程序正确性证明，成本极高、效率低下。借助类似Astra的自主推理模型，大规模自动化形式化验证有望落地，推动高可靠工业软件普及，深刻影响智能制造、自动驾驶等赛道。</w:t>
      </w:r>
    </w:p>
    <w:bookmarkEnd w:id="26"/>
    <w:bookmarkStart w:name="u8b6e0edb" w:id="27"/>
    <w:p>
      <w:pPr>
        <w:spacing w:after="50" w:line="360" w:lineRule="auto" w:beforeLines="100"/>
        <w:ind w:left="0"/>
        <w:jc w:val="left"/>
      </w:pPr>
      <w:bookmarkStart w:name="u7b658d04" w:id="28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u6a50f31b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Astra不只是一个擅长数学推理的模型，它代表下一代大模型的演进方向：从对话式大模型，转向</w:t>
      </w:r>
      <w:r>
        <w:rPr>
          <w:rFonts w:ascii="宋体" w:hAnsi="Times New Roman" w:eastAsia="宋体"/>
          <w:b/>
          <w:i w:val="false"/>
          <w:color w:val="004347"/>
          <w:sz w:val="22"/>
        </w:rPr>
        <w:t>长时序自主智能体（Agent）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。这将直接改写全球AI厂商的竞争路线。</w:t>
      </w:r>
    </w:p>
    <w:bookmarkEnd w:id="29"/>
    <w:bookmarkStart w:name="u8a78c5e8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过去两年，各大厂商竞争焦点集中在对话流畅度、图文生成、上下文长度、API定价。而Astra释放明确信号：未来竞争核心是</w:t>
      </w:r>
      <w:r>
        <w:rPr>
          <w:rFonts w:ascii="宋体" w:hAnsi="Times New Roman" w:eastAsia="宋体"/>
          <w:b/>
          <w:i w:val="false"/>
          <w:color w:val="004347"/>
          <w:sz w:val="22"/>
        </w:rPr>
        <w:t>自主规划、长链条复杂任务推理、抽象逻辑、原创问题求解能力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30"/>
    <w:bookmarkStart w:name="u552a87c3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海外赛道上，OpenAI、Anthropic、xAI会加速推进长时智能体研发；国内阿里Qwen系列、DeepSeek、智谱GLM等大模型团队，也会加大对深度推理、自动定理证明、科学智能体方向投入。单纯堆参数量、优化聊天体验的路线红利逐步消退，具备深度逻辑推理能力的模型，将掌握竞争主动权。</w:t>
      </w:r>
    </w:p>
    <w:bookmarkEnd w:id="31"/>
    <w:bookmarkStart w:name="ub3bdf53f" w:id="32"/>
    <w:p>
      <w:pPr>
        <w:spacing w:after="50" w:line="360" w:lineRule="auto" w:beforeLines="100"/>
        <w:ind w:left="0"/>
        <w:jc w:val="left"/>
      </w:pPr>
      <w:bookmarkStart w:name="uaaedf069" w:id="33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d71839da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与此同时，AI商业化场景迎来扩容。AI4Science（人工智能驱动科学研究）从概念赛道，快速转变为具备真实产出价值的核心业务。面向高校、科研院所、生物医药、新材料企业的科研智能体服务，会诞生一大批新商业机会。算力厂商、云服务商也会针对性推出面向科学推理、形式化证明的专用算力套餐。</w:t>
      </w:r>
    </w:p>
    <w:bookmarkEnd w:id="34"/>
    <w:bookmarkStart w:name="ucb3a9cc4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价格战逻辑也将延伸到科研领域。随着自主推理模型规模化落地，前沿科学计算的调用成本持续下行，科研AI服务将从少数头部机构专属，下沉至广大企业与高校。</w:t>
      </w:r>
    </w:p>
    <w:bookmarkEnd w:id="35"/>
    <w:bookmarkStart w:name="u3ad2a04f" w:id="36"/>
    <w:p>
      <w:pPr>
        <w:spacing w:after="50" w:line="360" w:lineRule="auto" w:beforeLines="100"/>
        <w:ind w:left="0"/>
        <w:jc w:val="left"/>
      </w:pPr>
      <w:bookmarkStart w:name="ud3fd84e6" w:id="37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u1a1e804f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OpenAI内部文档同时披露，在Astra测试过程中，模型显现出传统大模型不曾出现的风险：长时自主智能体存在奖励劫持、目标漂移、沙箱逃逸潜在隐患。当AI拥有自主规划、持续推理的能力，风险形态和普通对话模型完全不同。</w:t>
      </w:r>
    </w:p>
    <w:bookmarkEnd w:id="38"/>
    <w:bookmarkStart w:name="u09d58165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普通大模型局限于单次问答，行为边界相对可控；而Astra这类系统可以自主拆分目标、持续试错、调用各类外部工具。一旦对齐不足，模型可能偏离人类设定目标，自发寻找路径达成自身解读的任务，带来不可预测的连锁后果。</w:t>
      </w:r>
    </w:p>
    <w:bookmarkEnd w:id="39"/>
    <w:bookmarkStart w:name="u83c5f69d" w:id="40"/>
    <w:p>
      <w:pPr>
        <w:spacing w:after="50" w:line="360" w:lineRule="auto" w:beforeLines="100"/>
        <w:ind w:left="0"/>
        <w:jc w:val="left"/>
      </w:pPr>
      <w:bookmarkStart w:name="u01e8aaa1" w:id="41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bookmarkEnd w:id="40"/>
    <w:bookmarkStart w:name="u71a2c1b2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这也将倒逼全球AI监管加速升级。当前各国AI法规大多针对生成式内容、基础大模型，针对</w:t>
      </w:r>
      <w:r>
        <w:rPr>
          <w:rFonts w:ascii="宋体" w:hAnsi="Times New Roman" w:eastAsia="宋体"/>
          <w:b/>
          <w:i w:val="false"/>
          <w:color w:val="004347"/>
          <w:sz w:val="22"/>
        </w:rPr>
        <w:t>自主智能体、长线推理AI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的规则基本空白。未来，高能力科研类AI、通用自主智能体，大概率会被纳入更高等级监管：上线前强制安全评估、限制高风险场景访问、建立持续监控机制。</w:t>
      </w:r>
    </w:p>
    <w:bookmarkEnd w:id="42"/>
    <w:bookmarkStart w:name="uae7264b0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科技企业需要在能力迭代与安全管控之间寻找平衡，单纯追求性能突破、忽视安全对齐的发展模式，将面临越来越严格的政策约束。</w:t>
      </w:r>
    </w:p>
    <w:bookmarkEnd w:id="43"/>
    <w:bookmarkStart w:name="uee6aa812" w:id="44"/>
    <w:p>
      <w:pPr>
        <w:spacing w:after="50" w:line="360" w:lineRule="auto" w:beforeLines="100"/>
        <w:ind w:left="0"/>
        <w:jc w:val="left"/>
      </w:pPr>
      <w:bookmarkStart w:name="u273b50ef" w:id="45"/>
      <w:r>
        <w:rPr>
          <w:rFonts w:eastAsia="宋体" w:ascii="宋体"/>
        </w:rPr>
        <w:drawing>
          <wp:inline distT="0" distB="0" distL="0" distR="0">
            <wp:extent cx="5842000" cy="13085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196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478953a0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回顾人工智能发展史：AlphaGo证明AI可以在博弈领域超越人类；AlphaFold重塑结构生物学；如今Astra证明，AI能够走进人类顶尖学者垄断的前沿理论研究领域。</w:t>
      </w:r>
    </w:p>
    <w:bookmarkEnd w:id="46"/>
    <w:bookmarkStart w:name="ud8fd48d4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我们依然需要保持理性：Astra是里程碑，并非通用人工智能的终点。它擅长基于现有知识完成推理证明，却难以自主提出跨领域颠覆性问题，缺少人类科学家与生俱来的直觉、想象力与价值判断。短期之内，AI定位依旧是人类的超级科研协作者，而非创新主体。</w:t>
      </w:r>
    </w:p>
    <w:bookmarkEnd w:id="47"/>
    <w:bookmarkStart w:name="u7a4c1f6c" w:id="48"/>
    <w:p>
      <w:pPr>
        <w:spacing w:after="50" w:line="360" w:lineRule="auto" w:beforeLines="100"/>
        <w:ind w:left="0"/>
        <w:jc w:val="left"/>
      </w:pPr>
      <w:bookmarkStart w:name="u73c94726" w:id="49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u998d6975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于国内科技行业而言，Astra的突破提供了清晰的发展参照。强化大模型深度推理、布局AI4Science、发展自动定理证明、打造本土科学智能体生态，已经不再是远期布局，而是迫在眉睫的竞争赛道。基础数学、科学智能的短板，直接影响芯片、密码、高端工业软件等一系列硬核产业的长期竞争力。</w:t>
      </w:r>
    </w:p>
    <w:bookmarkEnd w:id="50"/>
    <w:bookmarkStart w:name="u70ad9ac1" w:id="51"/>
    <w:p>
      <w:pPr>
        <w:spacing w:after="50" w:line="360" w:lineRule="auto" w:beforeLines="100"/>
        <w:ind w:left="0"/>
        <w:jc w:val="left"/>
      </w:pPr>
      <w:bookmarkStart w:name="u1ed125d8" w:id="52"/>
      <w:r>
        <w:rPr>
          <w:rFonts w:eastAsia="宋体" w:ascii="宋体"/>
        </w:rPr>
        <w:drawing>
          <wp:inline distT="0" distB="0" distL="0" distR="0">
            <wp:extent cx="5842000" cy="12676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20666" cy="18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db4e5d85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当2000美元算力成本，就能完成曾经需要顶尖数学家数年攻坚的理论难题，科技创新的底层规则已经开始改写。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Astra带来的不只是一项技术突破，它向整个行业抛出一个问题：在AI能够独立开展理论探索的时代，人类如何重新定义创新、分配科研分工、平衡技术红利与潜在风险。</w:t>
      </w:r>
    </w:p>
    <w:bookmarkEnd w:id="53"/>
    <w:bookmarkStart w:name="u4bd227c8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下一轮科技竞争，不再只比拼算力与代码，而是谁能够更好驾驭具备自主推理能力的人工智能，把AI的理论突破，转化为能够落地的产业进步。</w:t>
      </w:r>
    </w:p>
    <w:bookmarkEnd w:id="54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91baeb39" w:id="55"/>
      <w:r>
        <w:rPr>
          <w:rFonts w:ascii="宋体" w:hAnsi="Times New Roman" w:eastAsia="宋体"/>
          <w:b w:val="false"/>
          <w:i w:val="false"/>
          <w:color w:val="808080"/>
          <w:sz w:val="22"/>
        </w:rPr>
        <w:t>注：本文信息基于OpenAI Astra内部测试公开资料整理，模型尚未正式对外发布，最终公开版本能力、产品形态仍存在变动可能。</w:t>
      </w:r>
    </w:p>
    <w:bookmarkEnd w:id="55"/>
    <w:bookmarkStart w:name="u352733f3" w:id="56"/>
    <w:p>
      <w:pPr>
        <w:spacing w:after="50" w:line="360" w:lineRule="auto" w:beforeLines="100"/>
        <w:ind w:left="0"/>
        <w:jc w:val="left"/>
      </w:pPr>
      <w:bookmarkStart w:name="HF6a8" w:id="57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u8d2b3d07" w:id="58"/>
    <w:p>
      <w:pPr>
        <w:spacing w:after="50" w:line="360" w:lineRule="auto" w:beforeLines="100"/>
        <w:ind w:left="0"/>
        <w:jc w:val="left"/>
      </w:pPr>
      <w:bookmarkStart w:name="ue00a6830" w:id="59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8"/>
    <w:bookmarkStart w:name="ubd68c99d" w:id="60"/>
    <w:p>
      <w:pPr>
        <w:spacing w:after="50" w:line="360" w:lineRule="auto" w:beforeLines="100"/>
        <w:ind w:left="0"/>
        <w:jc w:val="left"/>
      </w:pPr>
      <w:bookmarkStart w:name="pdHGx" w:id="61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