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image/png" PartName="/word/media/document_image_rId15.png"/>
  <Override ContentType="image/png" PartName="/word/media/document_image_rId16.png"/>
  <Override ContentType="image/png" PartName="/word/media/document_image_rId17.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【轨物方案】光伏清检一体化机器人：从"能扫"到"能看能断"的技术跨越</w:t>
      </w:r>
    </w:p>
    <w:p>
      <w:pPr>
        <w:pStyle w:val="Heading1"/>
        <w:spacing w:after="50" w:line="360" w:lineRule="auto" w:beforeLines="100"/>
        <w:ind w:left="0"/>
        <w:jc w:val="left"/>
      </w:pPr>
      <w:bookmarkStart w:name="I1kn8" w:id="0"/>
      <w:bookmarkStart w:name="ue92a9310" w:id="1"/>
      <w:r>
        <w:rPr>
          <w:rFonts w:eastAsia="宋体" w:ascii="宋体"/>
        </w:rPr>
        <w:drawing>
          <wp:inline distT="0" distB="0" distL="0" distR="0">
            <wp:extent cx="5841999" cy="37972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72134" cy="641680"/>
                    </a:xfrm>
                    <a:prstGeom prst="rect">
                      <a:avLst/>
                    </a:prstGeom>
                  </pic:spPr>
                </pic:pic>
              </a:graphicData>
            </a:graphic>
          </wp:inline>
        </w:drawing>
      </w:r>
      <w:bookmarkEnd w:id="1"/>
    </w:p>
    <w:bookmarkEnd w:id="0"/>
    <w:bookmarkStart w:name="u759ed3a5" w:id="2"/>
    <w:p>
      <w:pPr>
        <w:spacing w:after="50" w:line="360" w:lineRule="auto" w:beforeLines="100"/>
        <w:ind w:left="0"/>
        <w:jc w:val="left"/>
      </w:pPr>
      <w:bookmarkStart w:name="u2b5b77f2" w:id="3"/>
      <w:r>
        <w:rPr>
          <w:rFonts w:eastAsia="宋体" w:ascii="宋体"/>
        </w:rPr>
        <w:drawing>
          <wp:inline distT="0" distB="0" distL="0" distR="0">
            <wp:extent cx="5841999" cy="13085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71466" cy="1964704"/>
                    </a:xfrm>
                    <a:prstGeom prst="rect">
                      <a:avLst/>
                    </a:prstGeom>
                  </pic:spPr>
                </pic:pic>
              </a:graphicData>
            </a:graphic>
          </wp:inline>
        </w:drawing>
      </w:r>
      <w:bookmarkEnd w:id="3"/>
    </w:p>
    <w:bookmarkEnd w:id="2"/>
    <w:bookmarkStart w:name="ubebc58a4" w:id="4"/>
    <w:p>
      <w:pPr>
        <w:spacing w:after="50" w:line="360" w:lineRule="auto" w:beforeLines="100"/>
        <w:ind w:left="0"/>
        <w:jc w:val="left"/>
      </w:pPr>
      <w:r>
        <w:rPr>
          <w:rFonts w:ascii="宋体" w:hAnsi="Times New Roman" w:eastAsia="宋体"/>
          <w:b w:val="false"/>
          <w:i w:val="false"/>
          <w:color w:val="000000"/>
          <w:sz w:val="22"/>
        </w:rPr>
        <w:t>全球光伏累计装机已突破 2.2TW，大规模电站运维面临两大核心瓶颈：一是组件表面积灰导致的年均 4%~8% 发电量损失，二是热斑、隐裂等隐性缺陷的持续累积。这两大痛点正驱动光伏清洁机器人从“单一清扫工具”向“清检一体化智能终端”加速转型。</w:t>
      </w:r>
    </w:p>
    <w:bookmarkEnd w:id="4"/>
    <w:bookmarkStart w:name="u962052f5" w:id="5"/>
    <w:p>
      <w:pPr>
        <w:spacing w:after="50" w:line="360" w:lineRule="auto" w:beforeLines="100"/>
        <w:ind w:left="0"/>
        <w:jc w:val="left"/>
      </w:pPr>
      <w:r>
        <w:rPr>
          <w:rFonts w:ascii="宋体" w:hAnsi="Times New Roman" w:eastAsia="宋体"/>
          <w:b w:val="false"/>
          <w:i w:val="false"/>
          <w:color w:val="000000"/>
          <w:sz w:val="22"/>
        </w:rPr>
        <w:t>轨物科技最新推出的“</w:t>
      </w:r>
      <w:r>
        <w:rPr>
          <w:rFonts w:ascii="宋体" w:hAnsi="Times New Roman" w:eastAsia="宋体"/>
          <w:b/>
          <w:i w:val="false"/>
          <w:color w:val="004347"/>
          <w:sz w:val="22"/>
        </w:rPr>
        <w:t>光伏清洁·检测一体化解决方案”</w:t>
      </w:r>
      <w:r>
        <w:rPr>
          <w:rFonts w:ascii="宋体" w:hAnsi="Times New Roman" w:eastAsia="宋体"/>
          <w:b w:val="false"/>
          <w:i w:val="false"/>
          <w:color w:val="000000"/>
          <w:sz w:val="22"/>
        </w:rPr>
        <w:t>，以多光谱视觉融合与主从式异构协同控制为核心技术路线，已在国能集团大型柔性支架电站完成工程验证——20.07MW 装机、38,976 块组件、22 台机器人实地部署，系统成功突破了三项核心技术难题。本文以该方案为主线，通过与主流方案的对比，阐述清检一体化的创新本质。</w:t>
      </w:r>
    </w:p>
    <w:bookmarkEnd w:id="5"/>
    <w:bookmarkStart w:name="u6fc255cb" w:id="6"/>
    <w:p>
      <w:pPr>
        <w:spacing w:after="50" w:line="360" w:lineRule="auto" w:beforeLines="100"/>
        <w:ind w:left="0"/>
        <w:jc w:val="left"/>
      </w:pPr>
      <w:bookmarkStart w:name="uaa8223dd" w:id="7"/>
      <w:r>
        <w:rPr>
          <w:rFonts w:eastAsia="宋体" w:ascii="宋体"/>
        </w:rPr>
        <w:drawing>
          <wp:inline distT="0" distB="0" distL="0" distR="0">
            <wp:extent cx="5841999" cy="389630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954933" cy="7973318"/>
                    </a:xfrm>
                    <a:prstGeom prst="rect">
                      <a:avLst/>
                    </a:prstGeom>
                  </pic:spPr>
                </pic:pic>
              </a:graphicData>
            </a:graphic>
          </wp:inline>
        </w:drawing>
      </w:r>
      <w:bookmarkEnd w:id="7"/>
    </w:p>
    <w:bookmarkEnd w:id="6"/>
    <w:bookmarkStart w:name="hTB91" w:id="8"/>
    <w:p>
      <w:pPr>
        <w:pStyle w:val="Heading2"/>
        <w:spacing w:after="50" w:line="360" w:lineRule="auto" w:beforeLines="100"/>
        <w:ind w:left="0"/>
        <w:jc w:val="left"/>
      </w:pPr>
      <w:bookmarkStart w:name="ua2b3df7a" w:id="9"/>
      <w:r>
        <w:rPr>
          <w:rFonts w:eastAsia="宋体" w:ascii="宋体"/>
        </w:rPr>
        <w:drawing>
          <wp:inline distT="0" distB="0" distL="0" distR="0">
            <wp:extent cx="5841999" cy="13786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71466" cy="2069956"/>
                    </a:xfrm>
                    <a:prstGeom prst="rect">
                      <a:avLst/>
                    </a:prstGeom>
                  </pic:spPr>
                </pic:pic>
              </a:graphicData>
            </a:graphic>
          </wp:inline>
        </w:drawing>
      </w:r>
      <w:bookmarkEnd w:id="9"/>
    </w:p>
    <w:bookmarkEnd w:id="8"/>
    <w:bookmarkStart w:name="ue3a303af" w:id="10"/>
    <w:p>
      <w:pPr>
        <w:spacing w:after="50" w:line="360" w:lineRule="auto" w:beforeLines="100"/>
        <w:ind w:left="0"/>
        <w:jc w:val="left"/>
      </w:pPr>
      <w:r>
        <w:rPr>
          <w:rFonts w:ascii="宋体" w:hAnsi="Times New Roman" w:eastAsia="宋体"/>
          <w:b w:val="false"/>
          <w:i w:val="false"/>
          <w:color w:val="000000"/>
          <w:sz w:val="22"/>
        </w:rPr>
        <w:t>传统光伏清洁机器人采用</w:t>
      </w:r>
      <w:r>
        <w:rPr>
          <w:rFonts w:ascii="宋体" w:hAnsi="Times New Roman" w:eastAsia="宋体"/>
          <w:b/>
          <w:i w:val="false"/>
          <w:color w:val="004347"/>
          <w:sz w:val="22"/>
        </w:rPr>
        <w:t>单 MCU 集中控制架构</w:t>
      </w:r>
      <w:r>
        <w:rPr>
          <w:rFonts w:ascii="宋体" w:hAnsi="Times New Roman" w:eastAsia="宋体"/>
          <w:b w:val="false"/>
          <w:i w:val="false"/>
          <w:color w:val="000000"/>
          <w:sz w:val="22"/>
        </w:rPr>
        <w:t>，仅聚焦清洁功能——电机驱动、姿态识别、LoRa/4G 通信均集成于单一控制器，不具备视觉感知能力。行业白皮书描述的干挂式机器人同样止步于机械层面的组件-支架适配。</w:t>
      </w:r>
    </w:p>
    <w:bookmarkEnd w:id="10"/>
    <w:bookmarkStart w:name="u76281ec7" w:id="11"/>
    <w:p>
      <w:pPr>
        <w:spacing w:after="50" w:line="360" w:lineRule="auto" w:beforeLines="100"/>
        <w:ind w:left="0"/>
        <w:jc w:val="left"/>
      </w:pPr>
      <w:r>
        <w:rPr>
          <w:rFonts w:ascii="宋体" w:hAnsi="Times New Roman" w:eastAsia="宋体"/>
          <w:b w:val="false"/>
          <w:i w:val="false"/>
          <w:color w:val="000000"/>
          <w:sz w:val="22"/>
        </w:rPr>
        <w:t>这种架构存在一个根本性矛盾：AI 推理任务（目标检测、图像分割）需要大量算力和时间，而电机控制任务要求毫秒级实时响应。单控制器在执行视觉推理时将严重挤占运动控制的实时性，这就是“清洁”与“巡检”无法在同一平台融合的架构瓶颈。</w:t>
      </w:r>
    </w:p>
    <w:bookmarkEnd w:id="11"/>
    <w:bookmarkStart w:name="ue35ccab8" w:id="12"/>
    <w:p>
      <w:pPr>
        <w:spacing w:after="50" w:line="360" w:lineRule="auto" w:beforeLines="100"/>
        <w:ind w:left="0"/>
        <w:jc w:val="left"/>
      </w:pPr>
      <w:r>
        <w:rPr>
          <w:rFonts w:ascii="宋体" w:hAnsi="Times New Roman" w:eastAsia="宋体"/>
          <w:b w:val="false"/>
          <w:i w:val="false"/>
          <w:color w:val="000000"/>
          <w:sz w:val="22"/>
        </w:rPr>
        <w:t>陈科明团队 2025 年 BP 率先提出“</w:t>
      </w:r>
      <w:r>
        <w:rPr>
          <w:rFonts w:ascii="宋体" w:hAnsi="Times New Roman" w:eastAsia="宋体"/>
          <w:b/>
          <w:i w:val="false"/>
          <w:color w:val="004347"/>
          <w:sz w:val="22"/>
        </w:rPr>
        <w:t>AI 基座 + 分离式双硬件</w:t>
      </w:r>
      <w:r>
        <w:rPr>
          <w:rFonts w:ascii="宋体" w:hAnsi="Times New Roman" w:eastAsia="宋体"/>
          <w:b w:val="false"/>
          <w:i w:val="false"/>
          <w:color w:val="000000"/>
          <w:sz w:val="22"/>
        </w:rPr>
        <w:t>”思路——清洁机器人 PV-Clarity 与检测机器人 PV-Guardian 分工协作，首次引入移动式 PL 检测，为行业奠定了重要基础。但双机器人方案存在成本翻倍、调度复杂、需两套供电和通讯系统的现实制约。。</w:t>
      </w:r>
    </w:p>
    <w:bookmarkEnd w:id="12"/>
    <w:bookmarkStart w:name="ubd7708f0" w:id="13"/>
    <w:p>
      <w:pPr>
        <w:spacing w:after="50" w:line="360" w:lineRule="auto" w:beforeLines="100"/>
        <w:ind w:left="0"/>
        <w:jc w:val="left"/>
      </w:pPr>
      <w:bookmarkStart w:name="u2881ea87" w:id="14"/>
      <w:r>
        <w:rPr>
          <w:rFonts w:eastAsia="宋体" w:ascii="宋体"/>
        </w:rPr>
        <w:drawing>
          <wp:inline distT="0" distB="0" distL="0" distR="0">
            <wp:extent cx="5842000" cy="242436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200534" cy="8798000"/>
                    </a:xfrm>
                    <a:prstGeom prst="rect">
                      <a:avLst/>
                    </a:prstGeom>
                  </pic:spPr>
                </pic:pic>
              </a:graphicData>
            </a:graphic>
          </wp:inline>
        </w:drawing>
      </w:r>
      <w:bookmarkEnd w:id="14"/>
    </w:p>
    <w:bookmarkEnd w:id="13"/>
    <w:bookmarkStart w:name="ue9c93345" w:id="15"/>
    <w:p>
      <w:pPr>
        <w:spacing w:after="50" w:line="360" w:lineRule="auto" w:beforeLines="100"/>
        <w:ind w:left="0"/>
        <w:jc w:val="left"/>
      </w:pPr>
      <w:bookmarkStart w:name="u673cd7fb" w:id="16"/>
      <w:r>
        <w:rPr>
          <w:rFonts w:eastAsia="宋体" w:ascii="宋体"/>
        </w:rPr>
        <w:drawing>
          <wp:inline distT="0" distB="0" distL="0" distR="0">
            <wp:extent cx="5841999" cy="134943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71466" cy="2026101"/>
                    </a:xfrm>
                    <a:prstGeom prst="rect">
                      <a:avLst/>
                    </a:prstGeom>
                  </pic:spPr>
                </pic:pic>
              </a:graphicData>
            </a:graphic>
          </wp:inline>
        </w:drawing>
      </w:r>
      <w:bookmarkEnd w:id="16"/>
    </w:p>
    <w:bookmarkEnd w:id="15"/>
    <w:bookmarkStart w:name="u306a0f67" w:id="17"/>
    <w:p>
      <w:pPr>
        <w:spacing w:after="50" w:line="360" w:lineRule="auto" w:beforeLines="100"/>
        <w:ind w:left="0"/>
        <w:jc w:val="left"/>
      </w:pPr>
      <w:r>
        <w:rPr>
          <w:rFonts w:ascii="宋体" w:hAnsi="Times New Roman" w:eastAsia="宋体"/>
          <w:b/>
          <w:i w:val="false"/>
          <w:color w:val="004347"/>
          <w:sz w:val="22"/>
        </w:rPr>
        <w:t>突破一：主从式异构架构——让一台机器同时完成清洁与诊断</w:t>
      </w:r>
    </w:p>
    <w:bookmarkEnd w:id="17"/>
    <w:bookmarkStart w:name="ubac05ae5" w:id="18"/>
    <w:p>
      <w:pPr>
        <w:spacing w:after="50" w:line="360" w:lineRule="auto" w:beforeLines="100"/>
        <w:ind w:left="0"/>
        <w:jc w:val="left"/>
      </w:pPr>
      <w:r>
        <w:rPr>
          <w:rFonts w:ascii="宋体" w:hAnsi="Times New Roman" w:eastAsia="宋体"/>
          <w:b w:val="false"/>
          <w:i w:val="false"/>
          <w:color w:val="000000"/>
          <w:sz w:val="22"/>
        </w:rPr>
        <w:t>轨物方案提出“</w:t>
      </w:r>
      <w:r>
        <w:rPr>
          <w:rFonts w:ascii="宋体" w:hAnsi="Times New Roman" w:eastAsia="宋体"/>
          <w:b/>
          <w:i w:val="false"/>
          <w:color w:val="004347"/>
          <w:sz w:val="22"/>
        </w:rPr>
        <w:t>主控板（GD32F303VET6 ARM Cortex-M3）+ 视觉处理板（RK3568）</w:t>
      </w:r>
      <w:r>
        <w:rPr>
          <w:rFonts w:ascii="宋体" w:hAnsi="Times New Roman" w:eastAsia="宋体"/>
          <w:b w:val="false"/>
          <w:i w:val="false"/>
          <w:color w:val="000000"/>
          <w:sz w:val="22"/>
        </w:rPr>
        <w:t>”的主从式异构架构，从硬件层面将清洁控制与视觉诊断彻底解耦。MCU 专责电机控制、超声波姿态感知和充放电管理等毫秒级实时任务，通过 RS-485 Modbus RTU（含 CRC16 校验）构建确定性通信链路，确保运动控制的可靠性不受视觉任务干扰。RK3568 则独立承载 HX2 双光视觉模组的视频流采集、YOLOv8-seg 推理和双光融合算法，通过千兆以太网（RTL8211FD PHY）实现高带宽传输。</w:t>
      </w:r>
    </w:p>
    <w:bookmarkEnd w:id="18"/>
    <w:bookmarkStart w:name="uead6fd81" w:id="19"/>
    <w:p>
      <w:pPr>
        <w:spacing w:after="50" w:line="360" w:lineRule="auto" w:beforeLines="100"/>
        <w:ind w:left="0"/>
        <w:jc w:val="left"/>
      </w:pPr>
      <w:r>
        <w:rPr>
          <w:rFonts w:ascii="宋体" w:hAnsi="Times New Roman" w:eastAsia="宋体"/>
          <w:b w:val="false"/>
          <w:i w:val="false"/>
          <w:color w:val="000000"/>
          <w:sz w:val="22"/>
        </w:rPr>
        <w:t>这种任务解耦与时间确定性分离的设计，使一台机器人在执行清扫的同时，同步完成双光谱数据采集与实时缺陷诊断——无需增加检测专用设备，真正实现了“</w:t>
      </w:r>
      <w:r>
        <w:rPr>
          <w:rFonts w:ascii="宋体" w:hAnsi="Times New Roman" w:eastAsia="宋体"/>
          <w:b/>
          <w:i w:val="false"/>
          <w:color w:val="004347"/>
          <w:sz w:val="22"/>
        </w:rPr>
        <w:t>一遍走过，清洁与巡检双线程异步协同</w:t>
      </w:r>
      <w:r>
        <w:rPr>
          <w:rFonts w:ascii="宋体" w:hAnsi="Times New Roman" w:eastAsia="宋体"/>
          <w:b w:val="false"/>
          <w:i w:val="false"/>
          <w:color w:val="000000"/>
          <w:sz w:val="22"/>
        </w:rPr>
        <w:t>”。</w:t>
      </w:r>
    </w:p>
    <w:bookmarkEnd w:id="19"/>
    <w:bookmarkStart w:name="u1b7ea7c7" w:id="20"/>
    <w:bookmarkEnd w:id="20"/>
    <w:bookmarkStart w:name="Dwv1T" w:id="21"/>
    <w:p>
      <w:pPr>
        <w:spacing w:after="50" w:line="360" w:lineRule="auto" w:beforeLines="100"/>
        <w:ind w:left="0"/>
        <w:jc w:val="left"/>
      </w:pPr>
      <w:r>
        <w:rPr>
          <w:rFonts w:ascii="宋体" w:hAnsi="Times New Roman" w:eastAsia="宋体"/>
          <w:b w:val="false"/>
          <w:i w:val="false"/>
          <w:color w:val="000000"/>
          <w:sz w:val="22"/>
        </w:rPr>
        <w:t>
    此处为语雀视频卡片，点击链接查看：</w:t>
      </w:r>
      <w:hyperlink r:id="rId10">
        <w:r>
          <w:rPr>
            <w:rFonts w:ascii="宋体" w:hAnsi="Times New Roman" w:eastAsia="宋体"/>
            <w:b w:val="false"/>
            <w:i w:val="false"/>
            <w:color w:val="0000ff"/>
            <w:sz w:val="22"/>
            <w:u w:val="single"/>
          </w:rPr>
          <w:t>国能大型光伏电站光伏清检一体化方案.mp4</w:t>
        </w:r>
      </w:hyperlink>
      <w:r>
        <w:rPr>
          <w:rFonts w:ascii="宋体" w:hAnsi="Times New Roman" w:eastAsia="宋体"/>
          <w:b w:val="false"/>
          <w:i w:val="false"/>
          <w:color w:val="000000"/>
          <w:sz w:val="22"/>
        </w:rPr>
        <w:t xml:space="preserve">
   </w:t>
      </w:r>
    </w:p>
    <w:bookmarkEnd w:id="21"/>
    <w:bookmarkStart w:name="uc3c94045" w:id="22"/>
    <w:p>
      <w:pPr>
        <w:spacing w:after="50" w:line="360" w:lineRule="auto" w:beforeLines="100"/>
        <w:ind w:left="0"/>
        <w:jc w:val="left"/>
      </w:pPr>
      <w:r>
        <w:rPr>
          <w:rFonts w:ascii="宋体" w:hAnsi="Times New Roman" w:eastAsia="宋体"/>
          <w:b/>
          <w:i w:val="false"/>
          <w:color w:val="004347"/>
          <w:sz w:val="22"/>
        </w:rPr>
        <w:t>突破二：实例分割驱动的主动安全——在柔性支架上不再“盲行”</w:t>
      </w:r>
    </w:p>
    <w:bookmarkEnd w:id="22"/>
    <w:bookmarkStart w:name="ueab37b93" w:id="23"/>
    <w:p>
      <w:pPr>
        <w:spacing w:after="50" w:line="360" w:lineRule="auto" w:beforeLines="100"/>
        <w:ind w:left="0"/>
        <w:jc w:val="left"/>
      </w:pPr>
      <w:r>
        <w:rPr>
          <w:rFonts w:ascii="宋体" w:hAnsi="Times New Roman" w:eastAsia="宋体"/>
          <w:b w:val="false"/>
          <w:i w:val="false"/>
          <w:color w:val="000000"/>
          <w:sz w:val="22"/>
        </w:rPr>
        <w:t>传统光伏清洁机器人仅依赖阵列两端的限位传感器防止越界，前提是“运行路径上组件始终存在”。然而柔性支架在风荷载（0.1~2Hz 持续晃动）和台风后极易发生组件移位或脱落——传统方案中的机器人在柔性支架上实际上是“</w:t>
      </w:r>
      <w:r>
        <w:rPr>
          <w:rFonts w:ascii="宋体" w:hAnsi="Times New Roman" w:eastAsia="宋体"/>
          <w:b/>
          <w:i w:val="false"/>
          <w:color w:val="004347"/>
          <w:sz w:val="22"/>
        </w:rPr>
        <w:t>盲行</w:t>
      </w:r>
      <w:r>
        <w:rPr>
          <w:rFonts w:ascii="宋体" w:hAnsi="Times New Roman" w:eastAsia="宋体"/>
          <w:b w:val="false"/>
          <w:i w:val="false"/>
          <w:color w:val="000000"/>
          <w:sz w:val="22"/>
        </w:rPr>
        <w:t>”的。</w:t>
      </w:r>
    </w:p>
    <w:bookmarkEnd w:id="23"/>
    <w:bookmarkStart w:name="u71f30f2a" w:id="24"/>
    <w:p>
      <w:pPr>
        <w:spacing w:after="50" w:line="360" w:lineRule="auto" w:beforeLines="100"/>
        <w:ind w:left="0"/>
        <w:jc w:val="left"/>
      </w:pPr>
      <w:bookmarkStart w:name="CrL0U" w:id="25"/>
      <w:r>
        <w:rPr>
          <w:rFonts w:eastAsia="宋体" w:ascii="宋体"/>
        </w:rPr>
        <w:drawing>
          <wp:inline distT="0" distB="0" distL="0" distR="0">
            <wp:extent cx="5841999" cy="389630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954933" cy="7973318"/>
                    </a:xfrm>
                    <a:prstGeom prst="rect">
                      <a:avLst/>
                    </a:prstGeom>
                  </pic:spPr>
                </pic:pic>
              </a:graphicData>
            </a:graphic>
          </wp:inline>
        </w:drawing>
      </w:r>
      <w:bookmarkEnd w:id="25"/>
    </w:p>
    <w:bookmarkEnd w:id="24"/>
    <w:bookmarkStart w:name="u47c3eac1" w:id="26"/>
    <w:p>
      <w:pPr>
        <w:spacing w:after="50" w:line="360" w:lineRule="auto" w:beforeLines="100"/>
        <w:ind w:left="0"/>
        <w:jc w:val="left"/>
      </w:pPr>
      <w:r>
        <w:rPr>
          <w:rFonts w:ascii="宋体" w:hAnsi="Times New Roman" w:eastAsia="宋体"/>
          <w:b w:val="false"/>
          <w:i w:val="false"/>
          <w:color w:val="000000"/>
          <w:sz w:val="22"/>
        </w:rPr>
        <w:t>轨物方案构建了基于实例分割的路径完整性判断与主动避险系统，包含四个环节：</w:t>
      </w:r>
    </w:p>
    <w:bookmarkEnd w:id="26"/>
    <w:bookmarkStart w:name="u4df8a23a" w:id="27"/>
    <w:p>
      <w:pPr>
        <w:numPr>
          <w:ilvl w:val="0"/>
          <w:numId w:val="1"/>
        </w:numPr>
        <w:spacing w:after="50" w:line="360" w:lineRule="auto" w:beforeLines="100"/>
        <w:ind w:left="360"/>
        <w:jc w:val="left"/>
      </w:pPr>
      <w:r>
        <w:rPr>
          <w:rFonts w:ascii="宋体" w:hAnsi="Times New Roman" w:eastAsia="宋体"/>
          <w:b/>
          <w:i w:val="false"/>
          <w:color w:val="004347"/>
          <w:sz w:val="22"/>
        </w:rPr>
        <w:t>算法核心</w:t>
      </w:r>
      <w:r>
        <w:rPr>
          <w:rFonts w:ascii="宋体" w:hAnsi="Times New Roman" w:eastAsia="宋体"/>
          <w:b w:val="false"/>
          <w:i w:val="false"/>
          <w:color w:val="004347"/>
          <w:sz w:val="22"/>
        </w:rPr>
        <w:t>：</w:t>
      </w:r>
      <w:r>
        <w:rPr>
          <w:rFonts w:ascii="宋体" w:hAnsi="Times New Roman" w:eastAsia="宋体"/>
          <w:b w:val="false"/>
          <w:i w:val="false"/>
          <w:color w:val="000000"/>
          <w:sz w:val="22"/>
        </w:rPr>
        <w:t>YOLOv8-seg 模型对前向视野中的光伏板进行实例级分割，计算掩码面积与预设 ROI 区域的重合率，实时判断前方路径是否安全。</w:t>
      </w:r>
    </w:p>
    <w:bookmarkEnd w:id="27"/>
    <w:bookmarkStart w:name="uc72144a3" w:id="28"/>
    <w:p>
      <w:pPr>
        <w:numPr>
          <w:ilvl w:val="0"/>
          <w:numId w:val="1"/>
        </w:numPr>
        <w:spacing w:after="50" w:line="360" w:lineRule="auto" w:beforeLines="100"/>
        <w:ind w:left="360"/>
        <w:jc w:val="left"/>
      </w:pPr>
      <w:r>
        <w:rPr>
          <w:rFonts w:ascii="宋体" w:hAnsi="Times New Roman" w:eastAsia="宋体"/>
          <w:b/>
          <w:i w:val="false"/>
          <w:color w:val="004347"/>
          <w:sz w:val="22"/>
        </w:rPr>
        <w:t>倾角自适应 ROI</w:t>
      </w:r>
      <w:r>
        <w:rPr>
          <w:rFonts w:ascii="宋体" w:hAnsi="Times New Roman" w:eastAsia="宋体"/>
          <w:b w:val="false"/>
          <w:i w:val="false"/>
          <w:color w:val="004347"/>
          <w:sz w:val="22"/>
        </w:rPr>
        <w:t>：</w:t>
      </w:r>
      <w:r>
        <w:rPr>
          <w:rFonts w:ascii="宋体" w:hAnsi="Times New Roman" w:eastAsia="宋体"/>
          <w:b w:val="false"/>
          <w:i w:val="false"/>
          <w:color w:val="000000"/>
          <w:sz w:val="22"/>
        </w:rPr>
        <w:t>基于摄像头安装倾角进行透视投影分析，预设与安装结构匹配的 ROI 预警边界，对工艺误差具有鲁棒性。</w:t>
      </w:r>
    </w:p>
    <w:bookmarkEnd w:id="28"/>
    <w:bookmarkStart w:name="uc5b64d29" w:id="29"/>
    <w:p>
      <w:pPr>
        <w:numPr>
          <w:ilvl w:val="0"/>
          <w:numId w:val="1"/>
        </w:numPr>
        <w:spacing w:after="50" w:line="360" w:lineRule="auto" w:beforeLines="100"/>
        <w:ind w:left="360"/>
        <w:jc w:val="left"/>
      </w:pPr>
      <w:r>
        <w:rPr>
          <w:rFonts w:ascii="宋体" w:hAnsi="Times New Roman" w:eastAsia="宋体"/>
          <w:b/>
          <w:i w:val="false"/>
          <w:color w:val="004347"/>
          <w:sz w:val="22"/>
        </w:rPr>
        <w:t>边缘端部署</w:t>
      </w:r>
      <w:r>
        <w:rPr>
          <w:rFonts w:ascii="宋体" w:hAnsi="Times New Roman" w:eastAsia="宋体"/>
          <w:b w:val="false"/>
          <w:i w:val="false"/>
          <w:color w:val="004347"/>
          <w:sz w:val="22"/>
        </w:rPr>
        <w:t>：</w:t>
      </w:r>
      <w:r>
        <w:rPr>
          <w:rFonts w:ascii="宋体" w:hAnsi="Times New Roman" w:eastAsia="宋体"/>
          <w:b w:val="false"/>
          <w:i w:val="false"/>
          <w:color w:val="000000"/>
          <w:sz w:val="22"/>
        </w:rPr>
        <w:t>通过 RKNN 量化加速将模型部署于 RK3568，实现端侧实时推理。</w:t>
      </w:r>
    </w:p>
    <w:bookmarkEnd w:id="29"/>
    <w:bookmarkStart w:name="uee6db59a" w:id="30"/>
    <w:p>
      <w:pPr>
        <w:numPr>
          <w:ilvl w:val="0"/>
          <w:numId w:val="1"/>
        </w:numPr>
        <w:spacing w:after="50" w:line="360" w:lineRule="auto" w:beforeLines="100"/>
        <w:ind w:left="360"/>
        <w:jc w:val="left"/>
      </w:pPr>
      <w:r>
        <w:rPr>
          <w:rFonts w:ascii="宋体" w:hAnsi="Times New Roman" w:eastAsia="宋体"/>
          <w:b/>
          <w:i w:val="false"/>
          <w:color w:val="004347"/>
          <w:sz w:val="22"/>
        </w:rPr>
        <w:t>通信-控制闭环</w:t>
      </w:r>
      <w:r>
        <w:rPr>
          <w:rFonts w:ascii="宋体" w:hAnsi="Times New Roman" w:eastAsia="宋体"/>
          <w:b w:val="false"/>
          <w:i w:val="false"/>
          <w:color w:val="004347"/>
          <w:sz w:val="22"/>
        </w:rPr>
        <w:t>：</w:t>
      </w:r>
      <w:r>
        <w:rPr>
          <w:rFonts w:ascii="宋体" w:hAnsi="Times New Roman" w:eastAsia="宋体"/>
          <w:b w:val="false"/>
          <w:i w:val="false"/>
          <w:color w:val="000000"/>
          <w:sz w:val="22"/>
        </w:rPr>
        <w:t>视觉板检测到组件缺失后，经 Modbus RTU 即时告警主控板，5 厘米内完成紧急制动。</w:t>
      </w:r>
    </w:p>
    <w:bookmarkEnd w:id="30"/>
    <w:bookmarkStart w:name="u48983e93" w:id="31"/>
    <w:p>
      <w:pPr>
        <w:spacing w:after="50" w:line="360" w:lineRule="auto" w:beforeLines="100"/>
        <w:ind w:left="0"/>
        <w:jc w:val="left"/>
      </w:pPr>
      <w:r>
        <w:rPr>
          <w:rFonts w:ascii="宋体" w:hAnsi="Times New Roman" w:eastAsia="宋体"/>
          <w:b w:val="false"/>
          <w:i w:val="false"/>
          <w:color w:val="000000"/>
          <w:sz w:val="22"/>
        </w:rPr>
        <w:t>相比于传统超声波传感器仅能感知距离差值，实例分割提供的是语义级环境理解——机器人不仅知道“前方有障碍”，更知道“前方缺少光伏板，继续行进将坠入高空”。</w:t>
      </w:r>
    </w:p>
    <w:bookmarkEnd w:id="31"/>
    <w:bookmarkStart w:name="uf794367b" w:id="32"/>
    <w:p>
      <w:pPr>
        <w:spacing w:after="50" w:line="360" w:lineRule="auto" w:beforeLines="100"/>
        <w:ind w:left="0"/>
        <w:jc w:val="left"/>
      </w:pPr>
      <w:r>
        <w:rPr>
          <w:rFonts w:ascii="宋体" w:hAnsi="Times New Roman" w:eastAsia="宋体"/>
          <w:b/>
          <w:i w:val="false"/>
          <w:color w:val="004347"/>
          <w:sz w:val="22"/>
        </w:rPr>
        <w:t>突破三：双光融合热斑识别——将误报率压至 4.2%</w:t>
      </w:r>
    </w:p>
    <w:bookmarkEnd w:id="32"/>
    <w:bookmarkStart w:name="u6026ea07" w:id="33"/>
    <w:p>
      <w:pPr>
        <w:spacing w:after="50" w:line="360" w:lineRule="auto" w:beforeLines="100"/>
        <w:ind w:left="0"/>
        <w:jc w:val="left"/>
      </w:pPr>
      <w:r>
        <w:rPr>
          <w:rFonts w:ascii="宋体" w:hAnsi="Times New Roman" w:eastAsia="宋体"/>
          <w:b w:val="false"/>
          <w:i w:val="false"/>
          <w:color w:val="000000"/>
          <w:sz w:val="22"/>
        </w:rPr>
        <w:t>传统方案巡检仅依靠可见光摄像头拍摄表观缺陷，无热斑检测能力。即使部分方案引入红外热成像，单一红外模态也面临严重虚假报警——光伏玻璃盖板的镜面反射使天空、云层等环境辐射进入红外相机，反射区域表观温度异常升高，与真实热斑在红外图像中特征不可区分。</w:t>
      </w:r>
    </w:p>
    <w:bookmarkEnd w:id="33"/>
    <w:bookmarkStart w:name="u74826466" w:id="34"/>
    <w:p>
      <w:pPr>
        <w:spacing w:after="50" w:line="360" w:lineRule="auto" w:beforeLines="100"/>
        <w:ind w:left="0"/>
        <w:jc w:val="left"/>
      </w:pPr>
      <w:bookmarkStart w:name="u64c8c3b3" w:id="35"/>
      <w:r>
        <w:rPr>
          <w:rFonts w:eastAsia="宋体" w:ascii="宋体"/>
        </w:rPr>
        <w:drawing>
          <wp:inline distT="0" distB="0" distL="0" distR="0">
            <wp:extent cx="5841999" cy="389630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954933" cy="7973318"/>
                    </a:xfrm>
                    <a:prstGeom prst="rect">
                      <a:avLst/>
                    </a:prstGeom>
                  </pic:spPr>
                </pic:pic>
              </a:graphicData>
            </a:graphic>
          </wp:inline>
        </w:drawing>
      </w:r>
      <w:bookmarkEnd w:id="35"/>
    </w:p>
    <w:bookmarkEnd w:id="34"/>
    <w:bookmarkStart w:name="u569a9b09" w:id="36"/>
    <w:p>
      <w:pPr>
        <w:spacing w:after="50" w:line="360" w:lineRule="auto" w:beforeLines="100"/>
        <w:ind w:left="0"/>
        <w:jc w:val="left"/>
      </w:pPr>
      <w:r>
        <w:rPr>
          <w:rFonts w:ascii="宋体" w:hAnsi="Times New Roman" w:eastAsia="宋体"/>
          <w:b w:val="false"/>
          <w:i w:val="false"/>
          <w:color w:val="000000"/>
          <w:sz w:val="22"/>
        </w:rPr>
        <w:t>轨物方案提出红外温度场与可见光反射特征融合的双光热斑识别算法，采用两级级联检测策略：</w:t>
      </w:r>
    </w:p>
    <w:bookmarkEnd w:id="36"/>
    <w:bookmarkStart w:name="u8acd6e3b" w:id="37"/>
    <w:p>
      <w:pPr>
        <w:numPr>
          <w:ilvl w:val="0"/>
          <w:numId w:val="2"/>
        </w:numPr>
        <w:spacing w:after="50" w:line="360" w:lineRule="auto" w:beforeLines="100"/>
        <w:ind w:left="360"/>
        <w:jc w:val="left"/>
      </w:pPr>
      <w:r>
        <w:rPr>
          <w:rFonts w:ascii="宋体" w:hAnsi="Times New Roman" w:eastAsia="宋体"/>
          <w:b/>
          <w:i w:val="false"/>
          <w:color w:val="004347"/>
          <w:sz w:val="22"/>
        </w:rPr>
        <w:t>空间配准</w:t>
      </w:r>
      <w:r>
        <w:rPr>
          <w:rFonts w:ascii="宋体" w:hAnsi="Times New Roman" w:eastAsia="宋体"/>
          <w:b w:val="false"/>
          <w:i w:val="false"/>
          <w:color w:val="004347"/>
          <w:sz w:val="22"/>
        </w:rPr>
        <w:t>：</w:t>
      </w:r>
      <w:r>
        <w:rPr>
          <w:rFonts w:ascii="宋体" w:hAnsi="Times New Roman" w:eastAsia="宋体"/>
          <w:b w:val="false"/>
          <w:i w:val="false"/>
          <w:color w:val="000000"/>
          <w:sz w:val="22"/>
        </w:rPr>
        <w:t>通过单应性变换建立红外（256×192 氧化钒探测器，NETD &lt; 50mK）与可见光（1920×1080 GC2093）的像素级空间映射。</w:t>
      </w:r>
    </w:p>
    <w:bookmarkEnd w:id="37"/>
    <w:bookmarkStart w:name="ue6e888e8" w:id="38"/>
    <w:p>
      <w:pPr>
        <w:numPr>
          <w:ilvl w:val="0"/>
          <w:numId w:val="2"/>
        </w:numPr>
        <w:spacing w:after="50" w:line="360" w:lineRule="auto" w:beforeLines="100"/>
        <w:ind w:left="360"/>
        <w:jc w:val="left"/>
      </w:pPr>
      <w:r>
        <w:rPr>
          <w:rFonts w:ascii="宋体" w:hAnsi="Times New Roman" w:eastAsia="宋体"/>
          <w:b/>
          <w:i w:val="false"/>
          <w:color w:val="004347"/>
          <w:sz w:val="22"/>
        </w:rPr>
        <w:t>第一级</w:t>
      </w:r>
      <w:r>
        <w:rPr>
          <w:rFonts w:ascii="宋体" w:hAnsi="Times New Roman" w:eastAsia="宋体"/>
          <w:b w:val="false"/>
          <w:i w:val="false"/>
          <w:color w:val="004347"/>
          <w:sz w:val="22"/>
        </w:rPr>
        <w:t>：</w:t>
      </w:r>
      <w:r>
        <w:rPr>
          <w:rFonts w:ascii="宋体" w:hAnsi="Times New Roman" w:eastAsia="宋体"/>
          <w:b w:val="false"/>
          <w:i w:val="false"/>
          <w:color w:val="000000"/>
          <w:sz w:val="22"/>
        </w:rPr>
        <w:t>红外温度矩阵全幅初筛，提取异常温度区域。</w:t>
      </w:r>
    </w:p>
    <w:bookmarkEnd w:id="38"/>
    <w:bookmarkStart w:name="ue7971928" w:id="39"/>
    <w:p>
      <w:pPr>
        <w:numPr>
          <w:ilvl w:val="0"/>
          <w:numId w:val="2"/>
        </w:numPr>
        <w:spacing w:after="50" w:line="360" w:lineRule="auto" w:beforeLines="100"/>
        <w:ind w:left="360"/>
        <w:jc w:val="left"/>
      </w:pPr>
      <w:r>
        <w:rPr>
          <w:rFonts w:ascii="宋体" w:hAnsi="Times New Roman" w:eastAsia="宋体"/>
          <w:b/>
          <w:i w:val="false"/>
          <w:color w:val="004347"/>
          <w:sz w:val="22"/>
        </w:rPr>
        <w:t>第二级</w:t>
      </w:r>
      <w:r>
        <w:rPr>
          <w:rFonts w:ascii="宋体" w:hAnsi="Times New Roman" w:eastAsia="宋体"/>
          <w:b w:val="false"/>
          <w:i w:val="false"/>
          <w:color w:val="004347"/>
          <w:sz w:val="22"/>
        </w:rPr>
        <w:t>：</w:t>
      </w:r>
      <w:r>
        <w:rPr>
          <w:rFonts w:ascii="宋体" w:hAnsi="Times New Roman" w:eastAsia="宋体"/>
          <w:b w:val="false"/>
          <w:i w:val="false"/>
          <w:color w:val="000000"/>
          <w:sz w:val="22"/>
        </w:rPr>
        <w:t>将可疑区域映射至可见光图像，YOLOv8 提取反射特征，分析是否由环境反射（镜面反光、云层倒影）引起。</w:t>
      </w:r>
    </w:p>
    <w:bookmarkEnd w:id="39"/>
    <w:bookmarkStart w:name="u2d6d250c" w:id="40"/>
    <w:p>
      <w:pPr>
        <w:numPr>
          <w:ilvl w:val="0"/>
          <w:numId w:val="2"/>
        </w:numPr>
        <w:spacing w:after="50" w:line="360" w:lineRule="auto" w:beforeLines="100"/>
        <w:ind w:left="360"/>
        <w:jc w:val="left"/>
      </w:pPr>
      <w:r>
        <w:rPr>
          <w:rFonts w:ascii="宋体" w:hAnsi="Times New Roman" w:eastAsia="宋体"/>
          <w:b/>
          <w:i w:val="false"/>
          <w:color w:val="004347"/>
          <w:sz w:val="22"/>
        </w:rPr>
        <w:t>联合决策</w:t>
      </w:r>
      <w:r>
        <w:rPr>
          <w:rFonts w:ascii="宋体" w:hAnsi="Times New Roman" w:eastAsia="宋体"/>
          <w:b w:val="false"/>
          <w:i w:val="false"/>
          <w:color w:val="004347"/>
          <w:sz w:val="22"/>
        </w:rPr>
        <w:t>：</w:t>
      </w:r>
      <w:r>
        <w:rPr>
          <w:rFonts w:ascii="宋体" w:hAnsi="Times New Roman" w:eastAsia="宋体"/>
          <w:b w:val="false"/>
          <w:i w:val="false"/>
          <w:color w:val="000000"/>
          <w:sz w:val="22"/>
        </w:rPr>
        <w:t>综合红外温度置信度与可见光反射置信度进行线性加权判别——仅当红外异常高置信且反射特征低置信时，判定为真实热斑。</w:t>
      </w:r>
    </w:p>
    <w:bookmarkEnd w:id="40"/>
    <w:bookmarkStart w:name="u3d6bbc96" w:id="41"/>
    <w:p>
      <w:pPr>
        <w:spacing w:after="50" w:line="360" w:lineRule="auto" w:beforeLines="100"/>
        <w:ind w:left="0"/>
        <w:jc w:val="left"/>
      </w:pPr>
      <w:r>
        <w:rPr>
          <w:rFonts w:ascii="宋体" w:hAnsi="Times New Roman" w:eastAsia="宋体"/>
          <w:b w:val="false"/>
          <w:i w:val="false"/>
          <w:color w:val="000000"/>
          <w:sz w:val="22"/>
        </w:rPr>
        <w:t>实验结果表明：在保证真实热斑检出率的前提下，误报率降至 4.2%——这是目前嵌入式端已知的最优水平之一。相比陈科明团队的 PL/EL 方案，该方法的独特优势在于与清洁过程的实时同步性——无需停机、无需暗室、无需外部激励光源，天然适配清检一体化的作业节奏。</w:t>
      </w:r>
    </w:p>
    <w:bookmarkEnd w:id="41"/>
    <w:bookmarkStart w:name="u95f750ae" w:id="42"/>
    <w:p>
      <w:pPr>
        <w:spacing w:after="50" w:line="360" w:lineRule="auto" w:beforeLines="100"/>
        <w:ind w:left="0"/>
        <w:jc w:val="left"/>
      </w:pPr>
      <w:bookmarkStart w:name="u8ce13e3b" w:id="43"/>
      <w:r>
        <w:rPr>
          <w:rFonts w:eastAsia="宋体" w:ascii="宋体"/>
        </w:rPr>
        <w:drawing>
          <wp:inline distT="0" distB="0" distL="0" distR="0">
            <wp:extent cx="5841999" cy="137870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619066" cy="2034084"/>
                    </a:xfrm>
                    <a:prstGeom prst="rect">
                      <a:avLst/>
                    </a:prstGeom>
                  </pic:spPr>
                </pic:pic>
              </a:graphicData>
            </a:graphic>
          </wp:inline>
        </w:drawing>
      </w:r>
      <w:bookmarkEnd w:id="43"/>
    </w:p>
    <w:bookmarkEnd w:id="42"/>
    <w:bookmarkStart w:name="ubcfced7f" w:id="44"/>
    <w:p>
      <w:pPr>
        <w:spacing w:after="50" w:line="360" w:lineRule="auto" w:beforeLines="100"/>
        <w:ind w:left="0"/>
        <w:jc w:val="left"/>
      </w:pPr>
      <w:r>
        <w:rPr>
          <w:rFonts w:ascii="宋体" w:hAnsi="Times New Roman" w:eastAsia="宋体"/>
          <w:b w:val="false"/>
          <w:i w:val="false"/>
          <w:color w:val="000000"/>
          <w:sz w:val="22"/>
        </w:rPr>
        <w:t>此外，方案还实现了两项此前未涉及的工程创新：</w:t>
      </w:r>
    </w:p>
    <w:bookmarkEnd w:id="44"/>
    <w:bookmarkStart w:name="u0ea344ef" w:id="45"/>
    <w:p>
      <w:pPr>
        <w:numPr>
          <w:ilvl w:val="0"/>
          <w:numId w:val="3"/>
        </w:numPr>
        <w:spacing w:after="50" w:line="360" w:lineRule="auto" w:beforeLines="100"/>
        <w:ind w:left="360"/>
        <w:jc w:val="left"/>
      </w:pPr>
      <w:r>
        <w:rPr>
          <w:rFonts w:ascii="宋体" w:hAnsi="Times New Roman" w:eastAsia="宋体"/>
          <w:b/>
          <w:i w:val="false"/>
          <w:color w:val="004347"/>
          <w:sz w:val="22"/>
        </w:rPr>
        <w:t>电动推杆防护仓</w:t>
      </w:r>
      <w:r>
        <w:rPr>
          <w:rFonts w:ascii="宋体" w:hAnsi="Times New Roman" w:eastAsia="宋体"/>
          <w:b w:val="false"/>
          <w:i w:val="false"/>
          <w:color w:val="004347"/>
          <w:sz w:val="22"/>
        </w:rPr>
        <w:t>：</w:t>
      </w:r>
      <w:r>
        <w:rPr>
          <w:rFonts w:ascii="宋体" w:hAnsi="Times New Roman" w:eastAsia="宋体"/>
          <w:b w:val="false"/>
          <w:i w:val="false"/>
          <w:color w:val="000000"/>
          <w:sz w:val="22"/>
        </w:rPr>
        <w:t>铝合金仓体配合硅胶密封条与高精度铰链，非巡检时封闭摄像头，启闭逻辑与巡检状态联动，并通过视觉验证闭环确认，杜绝沙尘和水渍对精密光学器件——尤其是氧化钒探测器——的侵蚀。</w:t>
      </w:r>
    </w:p>
    <w:bookmarkEnd w:id="45"/>
    <w:bookmarkStart w:name="ufa5c10a4" w:id="46"/>
    <w:p>
      <w:pPr>
        <w:numPr>
          <w:ilvl w:val="0"/>
          <w:numId w:val="3"/>
        </w:numPr>
        <w:spacing w:after="50" w:line="360" w:lineRule="auto" w:beforeLines="100"/>
        <w:ind w:left="360"/>
        <w:jc w:val="left"/>
      </w:pPr>
      <w:r>
        <w:rPr>
          <w:rFonts w:ascii="宋体" w:hAnsi="Times New Roman" w:eastAsia="宋体"/>
          <w:b/>
          <w:i w:val="false"/>
          <w:color w:val="004347"/>
          <w:sz w:val="22"/>
        </w:rPr>
        <w:t>按需供电</w:t>
      </w:r>
      <w:r>
        <w:rPr>
          <w:rFonts w:ascii="宋体" w:hAnsi="Times New Roman" w:eastAsia="宋体"/>
          <w:b w:val="false"/>
          <w:i w:val="false"/>
          <w:color w:val="004347"/>
          <w:sz w:val="22"/>
        </w:rPr>
        <w:t>：</w:t>
      </w:r>
      <w:r>
        <w:rPr>
          <w:rFonts w:ascii="宋体" w:hAnsi="Times New Roman" w:eastAsia="宋体"/>
          <w:b w:val="false"/>
          <w:i w:val="false"/>
          <w:color w:val="000000"/>
          <w:sz w:val="22"/>
        </w:rPr>
        <w:t>继电器控制摄像头在非巡检时段断电，降低功耗、延缓 CMOS 老化。</w:t>
      </w:r>
    </w:p>
    <w:bookmarkEnd w:id="46"/>
    <w:bookmarkStart w:name="eSKEI" w:id="47"/>
    <w:p>
      <w:pPr>
        <w:pStyle w:val="Heading2"/>
        <w:spacing w:after="50" w:line="360" w:lineRule="auto" w:beforeLines="100"/>
        <w:ind w:left="0"/>
        <w:jc w:val="left"/>
      </w:pPr>
      <w:bookmarkStart w:name="u4a13ca5b" w:id="48"/>
      <w:r>
        <w:rPr>
          <w:rFonts w:eastAsia="宋体" w:ascii="宋体"/>
        </w:rPr>
        <w:drawing>
          <wp:inline distT="0" distB="0" distL="0" distR="0">
            <wp:extent cx="5842000" cy="130852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754534" cy="1960896"/>
                    </a:xfrm>
                    <a:prstGeom prst="rect">
                      <a:avLst/>
                    </a:prstGeom>
                  </pic:spPr>
                </pic:pic>
              </a:graphicData>
            </a:graphic>
          </wp:inline>
        </w:drawing>
      </w:r>
      <w:bookmarkEnd w:id="48"/>
    </w:p>
    <w:bookmarkEnd w:id="47"/>
    <w:bookmarkStart w:name="u8afb3004" w:id="49"/>
    <w:p>
      <w:pPr>
        <w:spacing w:after="50" w:line="360" w:lineRule="auto" w:beforeLines="100"/>
        <w:ind w:left="0"/>
        <w:jc w:val="left"/>
      </w:pPr>
      <w:r>
        <w:rPr>
          <w:rFonts w:ascii="宋体" w:hAnsi="Times New Roman" w:eastAsia="宋体"/>
          <w:b w:val="false"/>
          <w:i w:val="false"/>
          <w:color w:val="000000"/>
          <w:sz w:val="22"/>
        </w:rPr>
        <w:t>光伏清洁机器人的演进，本质是从“</w:t>
      </w:r>
      <w:r>
        <w:rPr>
          <w:rFonts w:ascii="宋体" w:hAnsi="Times New Roman" w:eastAsia="宋体"/>
          <w:b/>
          <w:i w:val="false"/>
          <w:color w:val="004347"/>
          <w:sz w:val="22"/>
        </w:rPr>
        <w:t>执行器</w:t>
      </w:r>
      <w:r>
        <w:rPr>
          <w:rFonts w:ascii="宋体" w:hAnsi="Times New Roman" w:eastAsia="宋体"/>
          <w:b w:val="false"/>
          <w:i w:val="false"/>
          <w:color w:val="000000"/>
          <w:sz w:val="22"/>
        </w:rPr>
        <w:t>”到“</w:t>
      </w:r>
      <w:r>
        <w:rPr>
          <w:rFonts w:ascii="宋体" w:hAnsi="Times New Roman" w:eastAsia="宋体"/>
          <w:b/>
          <w:i w:val="false"/>
          <w:color w:val="004347"/>
          <w:sz w:val="22"/>
        </w:rPr>
        <w:t>感知终端</w:t>
      </w:r>
      <w:r>
        <w:rPr>
          <w:rFonts w:ascii="宋体" w:hAnsi="Times New Roman" w:eastAsia="宋体"/>
          <w:b w:val="false"/>
          <w:i w:val="false"/>
          <w:color w:val="000000"/>
          <w:sz w:val="22"/>
        </w:rPr>
        <w:t>”再到“</w:t>
      </w:r>
      <w:r>
        <w:rPr>
          <w:rFonts w:ascii="宋体" w:hAnsi="Times New Roman" w:eastAsia="宋体"/>
          <w:b/>
          <w:i w:val="false"/>
          <w:color w:val="004347"/>
          <w:sz w:val="22"/>
        </w:rPr>
        <w:t>智能决策节点</w:t>
      </w:r>
      <w:r>
        <w:rPr>
          <w:rFonts w:ascii="宋体" w:hAnsi="Times New Roman" w:eastAsia="宋体"/>
          <w:b w:val="false"/>
          <w:i w:val="false"/>
          <w:color w:val="000000"/>
          <w:sz w:val="22"/>
        </w:rPr>
        <w:t>”的三级跃升。轨物科技完成了从“机器替人清扫”的第一步到关键的第二步跨越：以主从式异构架构承载多光谱感知，以实例分割驱动主动安全决策，以双光融合实现高精度热斑诊断——让机器人从“</w:t>
      </w:r>
      <w:r>
        <w:rPr>
          <w:rFonts w:ascii="宋体" w:hAnsi="Times New Roman" w:eastAsia="宋体"/>
          <w:b/>
          <w:i w:val="false"/>
          <w:color w:val="004347"/>
          <w:sz w:val="22"/>
        </w:rPr>
        <w:t>能走能扫</w:t>
      </w:r>
      <w:r>
        <w:rPr>
          <w:rFonts w:ascii="宋体" w:hAnsi="Times New Roman" w:eastAsia="宋体"/>
          <w:b w:val="false"/>
          <w:i w:val="false"/>
          <w:color w:val="000000"/>
          <w:sz w:val="22"/>
        </w:rPr>
        <w:t>”进化为“</w:t>
      </w:r>
      <w:r>
        <w:rPr>
          <w:rFonts w:ascii="宋体" w:hAnsi="Times New Roman" w:eastAsia="宋体"/>
          <w:b/>
          <w:i w:val="false"/>
          <w:color w:val="004347"/>
          <w:sz w:val="22"/>
        </w:rPr>
        <w:t>能看能断</w:t>
      </w:r>
      <w:r>
        <w:rPr>
          <w:rFonts w:ascii="宋体" w:hAnsi="Times New Roman" w:eastAsia="宋体"/>
          <w:b w:val="false"/>
          <w:i w:val="false"/>
          <w:color w:val="000000"/>
          <w:sz w:val="22"/>
        </w:rPr>
        <w:t>”。</w:t>
      </w:r>
    </w:p>
    <w:bookmarkEnd w:id="49"/>
    <w:bookmarkStart w:name="u7ac8d24a" w:id="50"/>
    <w:p>
      <w:pPr>
        <w:spacing w:after="50" w:line="360" w:lineRule="auto" w:beforeLines="100"/>
        <w:ind w:left="0"/>
        <w:jc w:val="left"/>
      </w:pPr>
      <w:r>
        <w:rPr>
          <w:rFonts w:ascii="宋体" w:hAnsi="Times New Roman" w:eastAsia="宋体"/>
          <w:b w:val="false"/>
          <w:i w:val="false"/>
          <w:color w:val="000000"/>
          <w:sz w:val="22"/>
        </w:rPr>
        <w:t>国能集团大型光伏电站的落地验证，为行业从自动化清扫向智能化诊断转型提供了可复用的工程范式。下一步，随着视觉模型在多场景数据上的持续迭代和边缘算力的进一步提升，清检一体化机器人将在更大规模的电站中释放更大的运维价值。</w:t>
      </w:r>
    </w:p>
    <w:bookmarkEnd w:id="50"/>
    <w:bookmarkStart w:name="ua97bdd30" w:id="51"/>
    <w:p>
      <w:pPr>
        <w:spacing w:after="50" w:line="360" w:lineRule="auto" w:beforeLines="100"/>
        <w:ind w:left="0"/>
        <w:jc w:val="left"/>
      </w:pPr>
      <w:bookmarkStart w:name="HF6a8" w:id="52"/>
      <w:r>
        <w:rPr>
          <w:rFonts w:eastAsia="宋体" w:ascii="宋体"/>
        </w:rPr>
        <w:drawing>
          <wp:inline distT="0" distB="0" distL="0" distR="0">
            <wp:extent cx="5842000" cy="161816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89334" cy="2157553"/>
                    </a:xfrm>
                    <a:prstGeom prst="rect">
                      <a:avLst/>
                    </a:prstGeom>
                  </pic:spPr>
                </pic:pic>
              </a:graphicData>
            </a:graphic>
          </wp:inline>
        </w:drawing>
      </w:r>
      <w:bookmarkEnd w:id="52"/>
    </w:p>
    <w:bookmarkEnd w:id="51"/>
    <w:bookmarkStart w:name="u8d2b3d07" w:id="53"/>
    <w:p>
      <w:pPr>
        <w:spacing w:after="50" w:line="360" w:lineRule="auto" w:beforeLines="100"/>
        <w:ind w:left="0"/>
        <w:jc w:val="left"/>
      </w:pPr>
      <w:bookmarkStart w:name="ue00a6830" w:id="54"/>
      <w:r>
        <w:rPr>
          <w:rFonts w:eastAsia="宋体" w:ascii="宋体"/>
        </w:rPr>
        <w:drawing>
          <wp:inline distT="0" distB="0" distL="0" distR="0">
            <wp:extent cx="5842000" cy="80093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574000" cy="28206954"/>
                    </a:xfrm>
                    <a:prstGeom prst="rect">
                      <a:avLst/>
                    </a:prstGeom>
                  </pic:spPr>
                </pic:pic>
              </a:graphicData>
            </a:graphic>
          </wp:inline>
        </w:drawing>
      </w:r>
      <w:bookmarkEnd w:id="54"/>
    </w:p>
    <w:bookmarkEnd w:id="53"/>
    <w:bookmarkStart w:name="ubd68c99d" w:id="55"/>
    <w:p>
      <w:pPr>
        <w:spacing w:after="50" w:line="360" w:lineRule="auto" w:beforeLines="100"/>
        <w:ind w:left="0"/>
        <w:jc w:val="left"/>
      </w:pPr>
      <w:bookmarkStart w:name="pdHGx" w:id="56"/>
      <w:r>
        <w:rPr>
          <w:rFonts w:eastAsia="宋体" w:ascii="宋体"/>
        </w:rPr>
        <w:drawing>
          <wp:inline distT="0" distB="0" distL="0" distR="0">
            <wp:extent cx="5841999" cy="47903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872134" cy="809504"/>
                    </a:xfrm>
                    <a:prstGeom prst="rect">
                      <a:avLst/>
                    </a:prstGeom>
                  </pic:spPr>
                </pic:pic>
              </a:graphicData>
            </a:graphic>
          </wp:inline>
        </w:drawing>
      </w:r>
      <w:bookmarkEnd w:id="56"/>
    </w:p>
    <w:bookmarkEnd w:id="55"/>
    <w:bookmarkStart w:name="uad86fc1d" w:id="57"/>
    <w:bookmarkEnd w:id="57"/>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abstractNum w:abstractNumId="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ttps://thingcom.yuque.com/dmfcly/lf3dyp/lpgztpzokmxgqx8t#Dwv1T" TargetMode="External" Type="http://schemas.openxmlformats.org/officeDocument/2006/relationships/hyperlink"/><Relationship Id="rId11" Target="media/document_image_rId11.png" Type="http://schemas.openxmlformats.org/officeDocument/2006/relationships/image"/><Relationship Id="rId12" Target="media/document_image_rId12.png" Type="http://schemas.openxmlformats.org/officeDocument/2006/relationships/image"/><Relationship Id="rId13" Target="media/document_image_rId13.png" Type="http://schemas.openxmlformats.org/officeDocument/2006/relationships/image"/><Relationship Id="rId14" Target="media/document_image_rId14.png" Type="http://schemas.openxmlformats.org/officeDocument/2006/relationships/image"/><Relationship Id="rId15" Target="media/document_image_rId15.png" Type="http://schemas.openxmlformats.org/officeDocument/2006/relationships/image"/><Relationship Id="rId16" Target="media/document_image_rId16.png" Type="http://schemas.openxmlformats.org/officeDocument/2006/relationships/image"/><Relationship Id="rId17" Target="media/document_image_rId17.png" Type="http://schemas.openxmlformats.org/officeDocument/2006/relationships/image"/><Relationship Id="rId2" Target="settings.xml" Type="http://schemas.openxmlformats.org/officeDocument/2006/relationships/settings"/><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