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vnd.openxmlformats-officedocument.wordprocessingml.document.main+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image/png" PartName="/word/media/document_image_rId4.png"/>
  <Override ContentType="image/png" PartName="/word/media/document_image_rId5.png"/>
  <Override ContentType="image/png" PartName="/word/media/document_image_rId6.png"/>
  <Override ContentType="image/png" PartName="/word/media/document_image_rId7.png"/>
  <Override ContentType="image/png" PartName="/word/media/document_image_rId8.png"/>
  <Override ContentType="image/png" PartName="/word/media/document_image_rId9.png"/>
  <Override ContentType="image/png" PartName="/word/media/document_image_rId10.png"/>
  <Override ContentType="image/png" PartName="/word/media/document_image_rId12.png"/>
  <Override ContentType="image/png" PartName="/word/media/document_image_rId14.png"/>
  <Override ContentType="image/png" PartName="/word/media/document_image_rId15.png"/>
  <Override ContentType="image/png" PartName="/word/media/document_image_rId17.png"/>
  <Override ContentType="image/png" PartName="/word/media/document_image_rId19.png"/>
  <Override ContentType="image/png" PartName="/word/media/document_image_rId20.png"/>
  <Override ContentType="image/png" PartName="/word/media/document_image_rId21.png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body>
    <!-- Created by docx4j 6.1.2 (Apache licensed) using REFERENCE JAXB in Oracle Java 1.8.0_131 on Linux -->
    <w:p>
      <w:pPr>
        <w:pStyle w:val="Heading1"/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</w:rPr>
        <w:t>【轨物洞见】非标阀门报价的数字化革命：为什么说 2026 年是分水岭</w:t>
      </w:r>
    </w:p>
    <w:p>
      <w:pPr>
        <w:pStyle w:val="Heading1"/>
        <w:spacing w:after="50" w:line="360" w:lineRule="auto" w:beforeLines="100"/>
        <w:ind w:left="0"/>
        <w:jc w:val="left"/>
      </w:pPr>
      <w:bookmarkStart w:name="CZgdW" w:id="0"/>
      <w:bookmarkStart w:name="ue92a9310" w:id="1"/>
      <w:r>
        <w:rPr>
          <w:rFonts w:eastAsia="宋体" w:ascii="宋体"/>
        </w:rPr>
        <w:drawing>
          <wp:inline distT="0" distB="0" distL="0" distR="0">
            <wp:extent cx="5841999" cy="379724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872134" cy="641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"/>
    </w:p>
    <w:bookmarkEnd w:id="0"/>
    <w:bookmarkStart w:name="u9af10031" w:id="2"/>
    <w:p>
      <w:pPr>
        <w:spacing w:after="50" w:line="360" w:lineRule="auto" w:beforeLines="100"/>
        <w:ind w:left="0"/>
        <w:jc w:val="left"/>
      </w:pPr>
      <w:bookmarkStart w:name="ud02a4251" w:id="3"/>
      <w:r>
        <w:rPr>
          <w:rFonts w:eastAsia="宋体" w:ascii="宋体"/>
        </w:rPr>
        <w:drawing>
          <wp:inline distT="0" distB="0" distL="0" distR="0">
            <wp:extent cx="5841999" cy="1308538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771466" cy="19647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3"/>
    </w:p>
    <w:bookmarkEnd w:id="2"/>
    <w:bookmarkStart w:name="u768d072d" w:id="4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中东客户发来一封邮件，附件里塞着三份文件——一份 PDF 规格书、一张 Excel 参数表、一份 Word 技术规范。他要四台 NPS 48、Class 600 的全焊接固定球阀，用于天然气管线。阀体要 ASTM A350 LF2 低温碳钢，球体要 F316 加镀层，执行机构没指定品牌，泄漏等级没明确，防火要不要 API 607 也没说。交货期要求二十八周。</w:t>
      </w:r>
    </w:p>
    <w:bookmarkEnd w:id="4"/>
    <w:bookmarkStart w:name="u1df88b8e" w:id="5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这是一个典型的非标阀门询价场景。对于国内任何一家具备大口径全焊接球阀制造能力的企业来说，技术上都做得出来。但问题从来不在于“</w:t>
      </w:r>
      <w:r>
        <w:rPr>
          <w:rFonts w:ascii="宋体" w:hAnsi="Times New Roman" w:eastAsia="宋体"/>
          <w:b/>
          <w:i w:val="false"/>
          <w:color w:val="004347"/>
          <w:sz w:val="22"/>
        </w:rPr>
        <w:t>能不能做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”，而在于“</w:t>
      </w:r>
      <w:r>
        <w:rPr>
          <w:rFonts w:ascii="宋体" w:hAnsi="Times New Roman" w:eastAsia="宋体"/>
          <w:b/>
          <w:i w:val="false"/>
          <w:color w:val="004347"/>
          <w:sz w:val="22"/>
        </w:rPr>
        <w:t>能不能报出一个既拿得下订单又不亏损的价格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”。</w:t>
      </w:r>
    </w:p>
    <w:bookmarkEnd w:id="5"/>
    <w:bookmarkStart w:name="ube329dd6" w:id="6"/>
    <w:p>
      <w:pPr>
        <w:spacing w:after="50" w:line="360" w:lineRule="auto" w:beforeLines="100"/>
        <w:ind w:left="0"/>
        <w:jc w:val="left"/>
      </w:pPr>
      <w:bookmarkStart w:name="u7736ad21" w:id="7"/>
      <w:r>
        <w:rPr>
          <w:rFonts w:eastAsia="宋体" w:ascii="宋体"/>
        </w:rPr>
        <w:drawing>
          <wp:inline distT="0" distB="0" distL="0" distR="0">
            <wp:extent cx="5841999" cy="3919875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9838266" cy="66012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7"/>
    </w:p>
    <w:bookmarkEnd w:id="6"/>
    <w:bookmarkStart w:name="u62da725a" w:id="8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传统模式下，这份报价要经历至少</w:t>
      </w:r>
      <w:r>
        <w:rPr>
          <w:rFonts w:ascii="宋体" w:hAnsi="Times New Roman" w:eastAsia="宋体"/>
          <w:b/>
          <w:i w:val="false"/>
          <w:color w:val="004347"/>
          <w:sz w:val="22"/>
        </w:rPr>
        <w:t>五个环节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：报价员手工从三份文件中提取二十多个技术参数，打开 Excel 逐项算成本，翻聊天记录找历史相似项目的参考价，和技术确认材质代用和工艺可行性，最后凭经验拍一个毛利率。整个流程走下来，顺利的话三到五天，出一点岔子就奔着一周去了。而任何一个环节的偏差——参数漏了、系数错了、历史方案找不到、毛利率拍脑袋——最终都会反映在报价单的盈亏上。</w:t>
      </w:r>
    </w:p>
    <w:bookmarkEnd w:id="8"/>
    <w:bookmarkStart w:name="u94d790cc" w:id="9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这就是工业非标品报价的核心矛盾：</w:t>
      </w:r>
      <w:r>
        <w:rPr>
          <w:rFonts w:ascii="宋体" w:hAnsi="Times New Roman" w:eastAsia="宋体"/>
          <w:b/>
          <w:i w:val="false"/>
          <w:color w:val="004347"/>
          <w:sz w:val="22"/>
        </w:rPr>
        <w:t>输入的模糊性和输出的精确性之间的巨大鸿沟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。</w:t>
      </w:r>
    </w:p>
    <w:bookmarkEnd w:id="9"/>
    <w:bookmarkStart w:name="u741f9b0e" w:id="10"/>
    <w:p>
      <w:pPr>
        <w:spacing w:after="50" w:line="360" w:lineRule="auto" w:beforeLines="100"/>
        <w:ind w:left="0"/>
        <w:jc w:val="left"/>
      </w:pPr>
      <w:bookmarkStart w:name="u3445652f" w:id="11"/>
      <w:r>
        <w:rPr>
          <w:rFonts w:eastAsia="宋体" w:ascii="宋体"/>
        </w:rPr>
        <w:drawing>
          <wp:inline distT="0" distB="0" distL="0" distR="0">
            <wp:extent cx="5841999" cy="1378638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771466" cy="20699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1"/>
    </w:p>
    <w:bookmarkEnd w:id="10"/>
    <w:bookmarkStart w:name="u1e5bc0ff" w:id="12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一个 NPS 48 全焊接球阀的报价，涉及公称口径、压力等级、设计标准、结构形式、阀体材料、球体材料、阀杆材料、阀座密封、工况介质、设计温度、驱动方式、执行机构品牌、泄漏等级、防火要求、对焊端标准、旁通阀配置、第三方检验、低温冲击试验、认证要求、检验要求、交货期、数量等超过二十个参数。每一个参数都对应一个价格影响因子，多个因子之间还存在交叉约束——比如选了 Class 600 压力等级，法兰就必须是锻件而非铸件；选了低温碳钢 LF2，就必须追加低温冲击试验；选了天然气介质，NACE MR0175 抗硫认证就大概率绕不开。</w:t>
      </w:r>
    </w:p>
    <w:bookmarkEnd w:id="12"/>
    <w:bookmarkStart w:name="u2085c770" w:id="13"/>
    <w:p>
      <w:pPr>
        <w:spacing w:after="50" w:line="360" w:lineRule="auto" w:beforeLines="100"/>
        <w:ind w:left="0"/>
        <w:jc w:val="left"/>
      </w:pPr>
      <w:bookmarkStart w:name="ubc65b372" w:id="14"/>
      <w:r>
        <w:rPr>
          <w:rFonts w:eastAsia="宋体" w:ascii="宋体"/>
        </w:rPr>
        <w:drawing>
          <wp:inline distT="0" distB="0" distL="0" distR="0">
            <wp:extent cx="5841999" cy="3919875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9838266" cy="66012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4"/>
    </w:p>
    <w:bookmarkEnd w:id="13"/>
    <w:bookmarkStart w:name="u36cb57a8" w:id="15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这些参数之间的关联逻辑，一个干了十年的资深报价工程师可能靠经验覆盖百分之八十。但剩下那百分之二十，就是出错的高发区。更严峻的是，这个行业的人员流动率在制造业中一直偏高——报价工程师的离职，往往意味着一整套报价判断逻辑的永久性流失。</w:t>
      </w:r>
    </w:p>
    <w:bookmarkEnd w:id="15"/>
    <w:bookmarkStart w:name="uceba6447" w:id="16"/>
    <w:p>
      <w:pPr>
        <w:spacing w:after="50" w:line="360" w:lineRule="auto" w:beforeLines="100"/>
        <w:ind w:left="0"/>
        <w:jc w:val="left"/>
      </w:pPr>
      <w:bookmarkStart w:name="ue86988d4" w:id="17"/>
      <w:r>
        <w:rPr>
          <w:rFonts w:eastAsia="宋体" w:ascii="宋体"/>
        </w:rPr>
        <w:drawing>
          <wp:inline distT="0" distB="0" distL="0" distR="0">
            <wp:extent cx="5841999" cy="134943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8771466" cy="20261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7"/>
    </w:p>
    <w:bookmarkEnd w:id="16"/>
    <w:bookmarkStart w:name="u758b80b2" w:id="18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轨物科技 AI 辅助报价智能体并不是简单地给 Excel 套了一个 AI 的外壳。它的</w:t>
      </w:r>
      <w:r>
        <w:rPr>
          <w:rFonts w:ascii="宋体" w:hAnsi="Times New Roman" w:eastAsia="宋体"/>
          <w:b/>
          <w:i w:val="false"/>
          <w:color w:val="004347"/>
          <w:sz w:val="22"/>
        </w:rPr>
        <w:t>底层逻辑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是：把非标阀门从询价到签发的全过程拆解为二十一个标准化阶段，用严格的状态机驱动流转，确保每一个阶段的输出在进入下一阶段之前是可验证、可追溯、可审计的。</w:t>
      </w:r>
    </w:p>
    <w:bookmarkEnd w:id="18"/>
    <w:bookmarkStart w:name="u4742b3c8" w:id="19"/>
    <w:p>
      <w:pPr>
        <w:spacing w:after="50" w:line="360" w:lineRule="auto" w:beforeLines="100"/>
        <w:ind w:left="0"/>
        <w:jc w:val="left"/>
      </w:pPr>
      <w:bookmarkStart w:name="u516c02fc" w:id="20"/>
      <w:r>
        <w:rPr>
          <w:rFonts w:eastAsia="宋体" w:ascii="宋体"/>
        </w:rPr>
        <w:drawing>
          <wp:inline distT="0" distB="0" distL="0" distR="0">
            <wp:extent cx="5841999" cy="3896309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1954933" cy="79733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20"/>
    </w:p>
    <w:bookmarkEnd w:id="19"/>
    <w:bookmarkStart w:name="l2r4F" w:id="21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
    此处为语雀视频卡片，点击链接查看：</w:t>
      </w:r>
      <w:hyperlink r:id="rId11">
        <w:r>
          <w:rPr>
            <w:rFonts w:ascii="宋体" w:hAnsi="Times New Roman" w:eastAsia="宋体"/>
            <w:b w:val="false"/>
            <w:i w:val="false"/>
            <w:color w:val="0000ff"/>
            <w:sz w:val="22"/>
            <w:u w:val="single"/>
          </w:rPr>
          <w:t>登录页.mp4</w:t>
        </w:r>
      </w:hyperlink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
   </w:t>
      </w:r>
    </w:p>
    <w:bookmarkEnd w:id="21"/>
    <w:bookmarkStart w:name="u47cade9e" w:id="22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/>
          <w:i w:val="false"/>
          <w:color w:val="004347"/>
          <w:sz w:val="22"/>
        </w:rPr>
        <w:t>询价阶段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，系统支持 PDF、Word、Excel 和邮件等多种格式的原始文件上传。AI 解析引擎自动从这些非结构化文档中提取二十四项关键技术参数，每项标注置信度评分和文件来源。报价员不再需要逐字逐行地从文件里“扒”数据，精力聚焦在少数低置信度和缺失字段的复核上。</w:t>
      </w:r>
    </w:p>
    <w:bookmarkEnd w:id="22"/>
    <w:bookmarkStart w:name="u4d26ab9e" w:id="23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/>
          <w:i w:val="false"/>
          <w:color w:val="004347"/>
          <w:sz w:val="22"/>
        </w:rPr>
        <w:t>参数确认后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，系统自动检索历史方案库，按口径、压力等级、材料、介质等多维度进行语义匹配，给出相似度评分和差异点对比。历史项目的成交价、净重量、工艺路线一目了然，报价员不再需要翻微信聊天记录和共享文件夹。</w:t>
      </w:r>
    </w:p>
    <w:bookmarkEnd w:id="23"/>
    <w:bookmarkStart w:name="ue337607a" w:id="24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最大的差异化能力在于 </w:t>
      </w:r>
      <w:r>
        <w:rPr>
          <w:rFonts w:ascii="宋体" w:hAnsi="Times New Roman" w:eastAsia="宋体"/>
          <w:b/>
          <w:i w:val="false"/>
          <w:color w:val="004347"/>
          <w:sz w:val="22"/>
        </w:rPr>
        <w:t>3D 模型自适应生成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。选定历史方案后，系统自动分析当前询价与历史方案的差异参数，生成改型任务清单——执行机构从 Rotork 换成 AUMA，旁通阀从无到有新增一套，防火要求从无升级到 API 607——每一项改型对应结构变化、重量增量、成本增量和交期影响。系统自动修改 3D 模型参数并重建装配体，完成后进行装配干涉检查、制造可行性校验和运输超限检测。这不是画一张示意图，而是生成一个参数化驱动、尺寸可复核的三维小样模型。</w:t>
      </w:r>
    </w:p>
    <w:bookmarkEnd w:id="24"/>
    <w:bookmarkStart w:name="u5e214ede" w:id="25"/>
    <w:p>
      <w:pPr>
        <w:spacing w:after="50" w:line="360" w:lineRule="auto" w:beforeLines="100"/>
        <w:ind w:left="0"/>
        <w:jc w:val="left"/>
      </w:pPr>
      <w:bookmarkStart w:name="ud8839a69" w:id="26"/>
      <w:r>
        <w:rPr>
          <w:rFonts w:eastAsia="宋体" w:ascii="宋体"/>
        </w:rPr>
        <w:drawing>
          <wp:inline distT="0" distB="0" distL="0" distR="0">
            <wp:extent cx="5842000" cy="389631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77466" cy="39866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26"/>
    </w:p>
    <w:bookmarkEnd w:id="25"/>
    <w:bookmarkStart w:name="b5XVf" w:id="27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
    此处为语雀视频卡片，点击链接查看：</w:t>
      </w:r>
      <w:hyperlink r:id="rId13">
        <w:r>
          <w:rPr>
            <w:rFonts w:ascii="宋体" w:hAnsi="Times New Roman" w:eastAsia="宋体"/>
            <w:b w:val="false"/>
            <w:i w:val="false"/>
            <w:color w:val="0000ff"/>
            <w:sz w:val="22"/>
            <w:u w:val="single"/>
          </w:rPr>
          <w:t>3D模型生成.mp4</w:t>
        </w:r>
      </w:hyperlink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
   </w:t>
      </w:r>
    </w:p>
    <w:bookmarkEnd w:id="27"/>
    <w:bookmarkStart w:name="u4d1ee803" w:id="28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有了 3D 模型，BOM 自动展开——阀体铸件、球体锻件、阀杆、阀座组件、执行机构、齿轮箱、旁通组件、支撑底座、紧固件——每一件的物料编码、材料牌号、单件重量、自制还是采购、成本来源和 ERP 匹配状态全部自动生成。同时，工艺路线从毛坯采购到最终包装的十二道工序，每道工序的工时、费率、制造周期和风险点自动核算。成本模块将材料、制造、检验、包装运输等十大成本科目逐项展开，每项标注计算方式、数据来源和置信度。</w:t>
      </w:r>
    </w:p>
    <w:bookmarkEnd w:id="28"/>
    <w:bookmarkStart w:name="ud49a0e23" w:id="29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最终，系统并行生成</w:t>
      </w:r>
      <w:r>
        <w:rPr>
          <w:rFonts w:ascii="宋体" w:hAnsi="Times New Roman" w:eastAsia="宋体"/>
          <w:b/>
          <w:i w:val="false"/>
          <w:color w:val="004347"/>
          <w:sz w:val="22"/>
        </w:rPr>
        <w:t>三套报价方案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——保守方案、推荐方案和竞争方案——分别对应不同的毛利率和预估中标概率。审批环节五级流转，低利润报价自动触发跨级拦截。</w:t>
      </w:r>
    </w:p>
    <w:bookmarkEnd w:id="29"/>
    <w:bookmarkStart w:name="ub90a1d89" w:id="30"/>
    <w:p>
      <w:pPr>
        <w:spacing w:after="50" w:line="360" w:lineRule="auto" w:beforeLines="100"/>
        <w:ind w:left="0"/>
        <w:jc w:val="left"/>
      </w:pPr>
      <w:bookmarkStart w:name="u7ebdedfb" w:id="31"/>
      <w:r>
        <w:rPr>
          <w:rFonts w:eastAsia="宋体" w:ascii="宋体"/>
        </w:rPr>
        <w:drawing>
          <wp:inline distT="0" distB="0" distL="0" distR="0">
            <wp:extent cx="5841999" cy="1378701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8619066" cy="20340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31"/>
    </w:p>
    <w:bookmarkEnd w:id="30"/>
    <w:bookmarkStart w:name="u047a6cd0" w:id="32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对泵阀制造企业而言，这意味着三件事。第一，报价能力从个别工程师的脑子里迁移到了系统中，人员流动不再造成知识断层。第二，报价周期从数天压缩到数小时，在客户等待耐心的窗口期内完成响应。第三，也是最重要的——每一份签出去的报价，背后是完整的参数解析链、模型校核链、BOM 展开链和成本核算链，签发主管看到的不是一张孤立的报价单，而是一份附带全链路决策依据的报价卷宗。</w:t>
      </w:r>
    </w:p>
    <w:bookmarkEnd w:id="32"/>
    <w:bookmarkStart w:name="ua89a7e45" w:id="33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当你的竞争对手还在用 Excel 和微信报价的时候，你的报价已经由 AI 解析、3D 模型、自动 BOM 和智能审批共同背书。这不是一个效率工具，这是一次报价体系的重构。</w:t>
      </w:r>
    </w:p>
    <w:bookmarkEnd w:id="33"/>
    <w:bookmarkStart w:name="u984064d7" w:id="34"/>
    <w:p>
      <w:pPr>
        <w:spacing w:after="50" w:line="360" w:lineRule="auto" w:beforeLines="100"/>
        <w:ind w:left="0"/>
        <w:jc w:val="left"/>
      </w:pPr>
      <w:bookmarkStart w:name="u82ddf77a" w:id="35"/>
      <w:r>
        <w:rPr>
          <w:rFonts w:eastAsia="宋体" w:ascii="宋体"/>
        </w:rPr>
        <w:drawing>
          <wp:inline distT="0" distB="0" distL="0" distR="0">
            <wp:extent cx="5841999" cy="3896309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1954933" cy="79733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35"/>
    </w:p>
    <w:bookmarkEnd w:id="34"/>
    <w:bookmarkStart w:name="XrRGj" w:id="36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
    此处为语雀视频卡片，点击链接查看：</w:t>
      </w:r>
      <w:hyperlink r:id="rId16">
        <w:r>
          <w:rPr>
            <w:rFonts w:ascii="宋体" w:hAnsi="Times New Roman" w:eastAsia="宋体"/>
            <w:b w:val="false"/>
            <w:i w:val="false"/>
            <w:color w:val="0000ff"/>
            <w:sz w:val="22"/>
            <w:u w:val="single"/>
          </w:rPr>
          <w:t>AI需求解析工作台.mp4</w:t>
        </w:r>
      </w:hyperlink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
   </w:t>
      </w:r>
    </w:p>
    <w:bookmarkEnd w:id="36"/>
    <w:bookmarkStart w:name="u0f42e60f" w:id="37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从</w:t>
      </w:r>
      <w:r>
        <w:rPr>
          <w:rFonts w:ascii="宋体" w:hAnsi="Times New Roman" w:eastAsia="宋体"/>
          <w:b/>
          <w:i w:val="false"/>
          <w:color w:val="004347"/>
          <w:sz w:val="22"/>
        </w:rPr>
        <w:t>产业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层面看，中国泵阀制造企业长期面临一个结构性困境：制造能力与国际一流同行比肩，但商务响应能力——尤其是非标品的报价速度和精度——严重拖了后腿。一台 NPS 48 Class 600 全焊接球阀，从铸锻件毛坯到成品出厂，制造端可以做到世界级水平；但在报价端，客户往往要等上三到五个工作日才能收到一份正式报价。这个时间差，在海外客户同时向多家供应商询价的场景下，意味着中国企业尚未入场就已经落后。</w:t>
      </w:r>
    </w:p>
    <w:bookmarkEnd w:id="37"/>
    <w:bookmarkStart w:name="ub921dac1" w:id="38"/>
    <w:p>
      <w:pPr>
        <w:spacing w:after="50" w:line="360" w:lineRule="auto" w:beforeLines="100"/>
        <w:ind w:left="0"/>
        <w:jc w:val="left"/>
      </w:pPr>
      <w:bookmarkStart w:name="u8a167a8b" w:id="39"/>
      <w:r>
        <w:rPr>
          <w:rFonts w:eastAsia="宋体" w:ascii="宋体"/>
        </w:rPr>
        <w:drawing>
          <wp:inline distT="0" distB="0" distL="0" distR="0">
            <wp:extent cx="5842000" cy="389631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77466" cy="39866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39"/>
    </w:p>
    <w:bookmarkEnd w:id="38"/>
    <w:bookmarkStart w:name="kis1H" w:id="40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
    此处为语雀视频卡片，点击链接查看：</w:t>
      </w:r>
      <w:hyperlink r:id="rId18">
        <w:r>
          <w:rPr>
            <w:rFonts w:ascii="宋体" w:hAnsi="Times New Roman" w:eastAsia="宋体"/>
            <w:b w:val="false"/>
            <w:i w:val="false"/>
            <w:color w:val="0000ff"/>
            <w:sz w:val="22"/>
            <w:u w:val="single"/>
          </w:rPr>
          <w:t>数据分析.mp4</w:t>
        </w:r>
      </w:hyperlink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
   </w:t>
      </w:r>
    </w:p>
    <w:bookmarkEnd w:id="40"/>
    <w:bookmarkStart w:name="u810c3964" w:id="41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轨物平台要解决的，正是这个“</w:t>
      </w:r>
      <w:r>
        <w:rPr>
          <w:rFonts w:ascii="宋体" w:hAnsi="Times New Roman" w:eastAsia="宋体"/>
          <w:b/>
          <w:i w:val="false"/>
          <w:color w:val="004347"/>
          <w:sz w:val="22"/>
        </w:rPr>
        <w:t>制造强、报价慢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”的产业级矛盾。当历史方案可以秒级检索复用、3D 模型可以自动生成校核、BOM 和成本可以联动刷新、三套报价方案可以并行产出，中国泵阀企业的报价响应速度就从“以天计”变成了“以小时计”。这不仅是一次效率提升，更是在全球非标阀门供应链竞争中重新定义中国企业的响应能力。</w:t>
      </w:r>
    </w:p>
    <w:bookmarkEnd w:id="41"/>
    <w:bookmarkStart w:name="ua753c3d5" w:id="42"/>
    <w:p>
      <w:pPr>
        <w:spacing w:after="50" w:line="360" w:lineRule="auto" w:beforeLines="100"/>
        <w:ind w:left="0"/>
        <w:jc w:val="left"/>
      </w:pPr>
      <w:bookmarkStart w:name="HF6a8" w:id="43"/>
      <w:r>
        <w:rPr>
          <w:rFonts w:eastAsia="宋体" w:ascii="宋体"/>
        </w:rPr>
        <w:drawing>
          <wp:inline distT="0" distB="0" distL="0" distR="0">
            <wp:extent cx="5842000" cy="1618164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789334" cy="21575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43"/>
    </w:p>
    <w:bookmarkEnd w:id="42"/>
    <w:bookmarkStart w:name="u8d2b3d07" w:id="44"/>
    <w:p>
      <w:pPr>
        <w:spacing w:after="50" w:line="360" w:lineRule="auto" w:beforeLines="100"/>
        <w:ind w:left="0"/>
        <w:jc w:val="left"/>
      </w:pPr>
      <w:bookmarkStart w:name="ue00a6830" w:id="45"/>
      <w:r>
        <w:rPr>
          <w:rFonts w:eastAsia="宋体" w:ascii="宋体"/>
        </w:rPr>
        <w:drawing>
          <wp:inline distT="0" distB="0" distL="0" distR="0">
            <wp:extent cx="5842000" cy="8009382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0" cy="282069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45"/>
    </w:p>
    <w:bookmarkEnd w:id="44"/>
    <w:bookmarkStart w:name="ubd68c99d" w:id="46"/>
    <w:p>
      <w:pPr>
        <w:spacing w:after="50" w:line="360" w:lineRule="auto" w:beforeLines="100"/>
        <w:ind w:left="0"/>
        <w:jc w:val="left"/>
      </w:pPr>
      <w:bookmarkStart w:name="pdHGx" w:id="47"/>
      <w:r>
        <w:rPr>
          <w:rFonts w:eastAsia="宋体" w:ascii="宋体"/>
        </w:rPr>
        <w:drawing>
          <wp:inline distT="0" distB="0" distL="0" distR="0">
            <wp:extent cx="5841999" cy="479037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9872134" cy="8095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47"/>
    </w:p>
    <w:bookmarkEnd w:id="46"/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宋体" w:eastAsia="宋体"/>
      <w:b/>
      <w:bCs/>
      <w:color w:val="000000"/>
      <w:sz w:val="4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宋体" w:eastAsia="宋体"/>
      <w:b/>
      <w:bCs/>
      <w:color w:val="000000"/>
      <w:sz w:val="3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宋体" w:eastAsia="宋体"/>
      <w:b/>
      <w:bCs/>
      <w:color w:val="000000"/>
      <w:sz w:val="3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宋体" w:eastAsia="宋体"/>
      <w:b/>
      <w:bCs/>
      <w:color w:val="000000"/>
      <w:sz w:val="30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841CD9"/>
    <w:pPr>
      <w:keepNext/>
      <w:keepLines/>
      <w:spacing w:before="200"/>
      <w:outlineLvl w:val="4"/>
    </w:pPr>
    <w:rPr>
      <w:rFonts w:ascii="宋体" w:eastAsia="宋体"/>
      <w:b/>
      <w:bCs/>
      <w:color w:val="000000"/>
      <w:sz w:val="28"/>
    </w:rPr>
  </w:style>
  <w:style w:type="paragraph" w:styleId="ne-codeblock"/>
</w:styles>
</file>

<file path=word/_rels/document.xml.rels><?xml version="1.0" encoding="UTF-8" standalone="yes"?><Relationships xmlns="http://schemas.openxmlformats.org/package/2006/relationships"><Relationship Id="rId1" Target="styles.xml" Type="http://schemas.openxmlformats.org/officeDocument/2006/relationships/styles"/><Relationship Id="rId10" Target="media/document_image_rId10.png" Type="http://schemas.openxmlformats.org/officeDocument/2006/relationships/image"/><Relationship Id="rId11" Target="https://thingcom.yuque.com/dmfcly/lf3dyp/zidukmdt3191t5xh#l2r4F" TargetMode="External" Type="http://schemas.openxmlformats.org/officeDocument/2006/relationships/hyperlink"/><Relationship Id="rId12" Target="media/document_image_rId12.png" Type="http://schemas.openxmlformats.org/officeDocument/2006/relationships/image"/><Relationship Id="rId13" Target="https://thingcom.yuque.com/dmfcly/lf3dyp/zidukmdt3191t5xh#b5XVf" TargetMode="External" Type="http://schemas.openxmlformats.org/officeDocument/2006/relationships/hyperlink"/><Relationship Id="rId14" Target="media/document_image_rId14.png" Type="http://schemas.openxmlformats.org/officeDocument/2006/relationships/image"/><Relationship Id="rId15" Target="media/document_image_rId15.png" Type="http://schemas.openxmlformats.org/officeDocument/2006/relationships/image"/><Relationship Id="rId16" Target="https://thingcom.yuque.com/dmfcly/lf3dyp/zidukmdt3191t5xh#XrRGj" TargetMode="External" Type="http://schemas.openxmlformats.org/officeDocument/2006/relationships/hyperlink"/><Relationship Id="rId17" Target="media/document_image_rId17.png" Type="http://schemas.openxmlformats.org/officeDocument/2006/relationships/image"/><Relationship Id="rId18" Target="https://thingcom.yuque.com/dmfcly/lf3dyp/zidukmdt3191t5xh#kis1H" TargetMode="External" Type="http://schemas.openxmlformats.org/officeDocument/2006/relationships/hyperlink"/><Relationship Id="rId19" Target="media/document_image_rId19.png" Type="http://schemas.openxmlformats.org/officeDocument/2006/relationships/image"/><Relationship Id="rId2" Target="settings.xml" Type="http://schemas.openxmlformats.org/officeDocument/2006/relationships/settings"/><Relationship Id="rId20" Target="media/document_image_rId20.png" Type="http://schemas.openxmlformats.org/officeDocument/2006/relationships/image"/><Relationship Id="rId21" Target="media/document_image_rId21.png" Type="http://schemas.openxmlformats.org/officeDocument/2006/relationships/image"/><Relationship Id="rId3" Target="numbering.xml" Type="http://schemas.openxmlformats.org/officeDocument/2006/relationships/numbering"/><Relationship Id="rId4" Target="media/document_image_rId4.png" Type="http://schemas.openxmlformats.org/officeDocument/2006/relationships/image"/><Relationship Id="rId5" Target="media/document_image_rId5.png" Type="http://schemas.openxmlformats.org/officeDocument/2006/relationships/image"/><Relationship Id="rId6" Target="media/document_image_rId6.png" Type="http://schemas.openxmlformats.org/officeDocument/2006/relationships/image"/><Relationship Id="rId7" Target="media/document_image_rId7.png" Type="http://schemas.openxmlformats.org/officeDocument/2006/relationships/image"/><Relationship Id="rId8" Target="media/document_image_rId8.png" Type="http://schemas.openxmlformats.org/officeDocument/2006/relationships/image"/><Relationship Id="rId9" Target="media/document_image_rId9.png" Type="http://schemas.openxmlformats.org/officeDocument/2006/relationships/image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