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【轨物方案】从传感器到AI诊断：箱变智能化技术栈四层架构精讲</w:t>
      </w:r>
    </w:p>
    <w:p>
      <w:pPr>
        <w:spacing w:after="50" w:line="360" w:lineRule="auto" w:beforeLines="100"/>
        <w:ind w:left="0"/>
        <w:jc w:val="left"/>
      </w:pPr>
      <w:bookmarkStart w:name="u16fed32b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4a856fa9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上一篇文章讲了智能箱变“做什么”和“为什么做”。这一篇讲“怎么做”——从技术架构的视角，把一套完整的智能箱变系统拆开来看清楚。</w:t>
      </w:r>
    </w:p>
    <w:bookmarkEnd w:id="2"/>
    <w:bookmarkStart w:name="uca7e3777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行业当前的共识很明确：箱变智能化不是堆一堆传感器加一个云平台就完事。它需要一套分层清晰、各层各司其职、协同配合的技术架构。目前主流方案采用四层结构：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感知层、边缘层、平台层、应用层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。少了任何一层，系统要么是“聋子”（感知不全），要么是“哑巴”（传不出去），要么是“智障”（有数据没判断）。</w:t>
      </w:r>
    </w:p>
    <w:bookmarkEnd w:id="3"/>
    <w:bookmarkStart w:name="u41df1079" w:id="4"/>
    <w:p>
      <w:pPr>
        <w:spacing w:after="50" w:line="360" w:lineRule="auto" w:beforeLines="100"/>
        <w:ind w:left="0"/>
        <w:jc w:val="left"/>
      </w:pPr>
      <w:bookmarkStart w:name="u551db21e" w:id="5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0d4b135b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先建立一个整体认知。四层架构自下而上分别是：</w:t>
      </w:r>
    </w:p>
    <w:bookmarkEnd w:id="6"/>
    <w:bookmarkStart w:name="u002b48b7" w:id="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感知层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部署在箱变内部的各类传感器，是系统的眼睛和耳朵。</w:t>
      </w:r>
    </w:p>
    <w:bookmarkEnd w:id="7"/>
    <w:bookmarkStart w:name="u61fea4a7" w:id="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边缘层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安装在箱变旁的智能网关（业内称TTU/融合终端），是系统在本地的大脑。</w:t>
      </w:r>
    </w:p>
    <w:bookmarkEnd w:id="8"/>
    <w:bookmarkStart w:name="uf64a6f5b" w:id="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平台层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部署在云端的物联网平台、数据库、AI引擎，是系统的中枢。</w:t>
      </w:r>
    </w:p>
    <w:bookmarkEnd w:id="9"/>
    <w:bookmarkStart w:name="u7f8e01eb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应用层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面向用户的监控大屏、APP、告警推送、诊断报告，是系统与人的界面。</w:t>
      </w:r>
    </w:p>
    <w:bookmarkEnd w:id="10"/>
    <w:bookmarkStart w:name="u31806fd4" w:id="11"/>
    <w:p>
      <w:pPr>
        <w:spacing w:after="50" w:line="360" w:lineRule="auto" w:beforeLines="100"/>
        <w:ind w:left="0"/>
        <w:jc w:val="left"/>
      </w:pPr>
      <w:bookmarkStart w:name="u183d0fc6" w:id="12"/>
      <w:r>
        <w:rPr>
          <w:rFonts w:eastAsia="宋体" w:ascii="宋体"/>
        </w:rPr>
        <w:drawing>
          <wp:inline distT="0" distB="0" distL="0" distR="0">
            <wp:extent cx="5841999" cy="38965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51732" cy="3325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c5be4cb0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数据流是单向向上、指令流是单向向下：感知层采集数据→边缘层汇聚预处理→平台层存储分析→应用层展示交互。同时，应用层发出的控制指令沿原路回传，经过平台鉴权、边缘解析、最终驱动现场设备执行。</w:t>
      </w:r>
    </w:p>
    <w:bookmarkEnd w:id="13"/>
    <w:bookmarkStart w:name="u76874175" w:id="14"/>
    <w:p>
      <w:pPr>
        <w:spacing w:after="50" w:line="360" w:lineRule="auto" w:beforeLines="100"/>
        <w:ind w:left="0"/>
        <w:jc w:val="left"/>
      </w:pPr>
      <w:bookmarkStart w:name="u87d05481" w:id="15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974ebc24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感知层部署在箱变三个仓室——高压室（十千伏/三十五千伏）、变压器室、低压室（三百八十伏/四百伏）——内部和周围。按监测对象，可分为六个维度，按重要性排列如下：</w:t>
      </w:r>
    </w:p>
    <w:bookmarkEnd w:id="16"/>
    <w:bookmarkStart w:name="msg-mr4bm0e3wzi1lh-heading-15" w:id="1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第一维：电气参数（标配）</w:t>
      </w:r>
    </w:p>
    <w:bookmarkEnd w:id="17"/>
    <w:bookmarkStart w:name="u63b3be46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通过电压/电流互感器搭配多功能电表，采集每个进出线回路的三相电压、三相电流、有功功率、无功功率、功率因数、频率、谐波含量（通常到第三十一次）。这是最基础的维度，也是后续所有分析——电能质量评估、线损计算、需量预测——的数据基础。</w:t>
      </w:r>
    </w:p>
    <w:bookmarkEnd w:id="18"/>
    <w:bookmarkStart w:name="u8835cea7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值得注意的是上海青浦供电公司在工程实践中提出的一种创新结构：共电压可组合式"电气感知设备。它由一个电压单元、多个电流单元和一个供电通信单元组成，通过插接式总线连接。多个电流单元共用一个电压单元，接线端子减少百分之四十以上，施工效率大幅提升。更重要的是支持带电安装——在不停电条件下完成感知改造，这对存量箱变市场来说是一个关键卖点。</w:t>
      </w:r>
    </w:p>
    <w:bookmarkEnd w:id="19"/>
    <w:bookmarkStart w:name="msg-mr4bm0e3wzi1lh-heading-16" w:id="2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第二维：温度监测（标配）</w:t>
      </w:r>
    </w:p>
    <w:bookmarkEnd w:id="20"/>
    <w:bookmarkStart w:name="u38d47a0d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业界统计，箱变故障中百分之四十到五十与过热有关——电缆接头松动导致的接触电阻增大、触头表面氧化、变压器过载引起的温升异常。温度监测的核心场景有两个：</w:t>
      </w:r>
    </w:p>
    <w:bookmarkEnd w:id="21"/>
    <w:bookmarkStart w:name="u16261a80" w:id="22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电缆接头和触头测温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采用无线测温传感器（RFID/声表面波型），直接绑扎在电缆接头或触臂上，通过无线方式将温度数据发送到接收器。无需布线、无需停电安装。也可以使用分布式光纤测温（DTS）覆盖更长距离的电缆路径，但成本高出数倍。</w:t>
      </w:r>
    </w:p>
    <w:bookmarkEnd w:id="22"/>
    <w:bookmarkStart w:name="u9b99035c" w:id="23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变压器绕组和铁芯测温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油浸式变压器通过顶部油温和底部油温的差值推算绕组热点温度；干式变压器则在绕组中预埋PT100热电阻。</w:t>
      </w:r>
    </w:p>
    <w:bookmarkEnd w:id="23"/>
    <w:bookmarkStart w:name="ua6ef45fb" w:id="24"/>
    <w:p>
      <w:pPr>
        <w:spacing w:after="50" w:line="360" w:lineRule="auto" w:beforeLines="100"/>
        <w:ind w:left="0"/>
        <w:jc w:val="left"/>
      </w:pPr>
      <w:bookmarkStart w:name="uf447e2b1" w:id="25"/>
      <w:r>
        <w:rPr>
          <w:rFonts w:eastAsia="宋体" w:ascii="宋体"/>
        </w:rPr>
        <w:drawing>
          <wp:inline distT="0" distB="0" distL="0" distR="0">
            <wp:extent cx="5841999" cy="354604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51732" cy="3025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msg-mr4bm0e3wzi1lh-heading-17" w:id="2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第三维：局部放电监测（高压室标配）</w:t>
      </w:r>
    </w:p>
    <w:bookmarkEnd w:id="26"/>
    <w:bookmarkStart w:name="u56641486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局部放电是高压绝缘劣化最早可测量的信号。当开关柜内部的绝缘体出现裂缝、气泡或表面污秽时，局部电场强度超过介质的击穿场强，发生微小放电。这个过程可能持续数月甚至数年，最终发展成贯穿性击穿——到那时就是事故了。</w:t>
      </w:r>
    </w:p>
    <w:bookmarkEnd w:id="27"/>
    <w:bookmarkStart w:name="uc9d06d1e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检测局部放电的三条主流技术路线：</w:t>
      </w:r>
    </w:p>
    <w:bookmarkEnd w:id="28"/>
    <w:bookmarkStart w:name="rcIWt" w:id="29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763"/>
        <w:gridCol w:w="2702"/>
        <w:gridCol w:w="2765"/>
        <w:gridCol w:w="2702"/>
        <w:gridCol w:w="2702"/>
      </w:tblGrid>
      <w:tr>
        <w:trPr>
          <w:trHeight w:val="495" w:hRule="atLeast"/>
        </w:trPr>
        <w:tc>
          <w:tcPr>
            <w:tcW w:w="276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ad25d4a" w:id="3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技术</w:t>
            </w:r>
          </w:p>
          <w:bookmarkEnd w:id="30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11a8e4" w:id="3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检测频段</w:t>
            </w:r>
          </w:p>
          <w:bookmarkEnd w:id="31"/>
        </w:tc>
        <w:tc>
          <w:tcPr>
            <w:tcW w:w="27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0076eee" w:id="3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传感器</w:t>
            </w:r>
          </w:p>
          <w:bookmarkEnd w:id="32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a99c83f" w:id="3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优势</w:t>
            </w:r>
          </w:p>
          <w:bookmarkEnd w:id="33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0f22eec" w:id="3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局限</w:t>
            </w:r>
          </w:p>
          <w:bookmarkEnd w:id="34"/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b2d9cfe" w:id="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特高频法（UHF）</w:t>
            </w:r>
          </w:p>
          <w:bookmarkEnd w:id="35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dbaecff" w:id="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三百兆赫兹至三吉赫兹</w:t>
            </w:r>
          </w:p>
          <w:bookmarkEnd w:id="36"/>
        </w:tc>
        <w:tc>
          <w:tcPr>
            <w:tcW w:w="27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f2afb4d" w:id="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UHF天线，安装在柜体内壁</w:t>
            </w:r>
          </w:p>
          <w:bookmarkEnd w:id="37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2aab6bf" w:id="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抗干扰能力强，灵敏度高，可定位</w:t>
            </w:r>
          </w:p>
          <w:bookmarkEnd w:id="38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5795aa" w:id="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需在柜体开窗安装，金属屏蔽影响信号</w:t>
            </w:r>
          </w:p>
          <w:bookmarkEnd w:id="39"/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2d2c995" w:id="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暂态地电压法（TEV）</w:t>
            </w:r>
          </w:p>
          <w:bookmarkEnd w:id="40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59768a" w:id="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三兆赫兹至一百兆赫兹</w:t>
            </w:r>
          </w:p>
          <w:bookmarkEnd w:id="41"/>
        </w:tc>
        <w:tc>
          <w:tcPr>
            <w:tcW w:w="27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8d8d48f" w:id="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电容耦合传感器，贴在柜体外壁</w:t>
            </w:r>
          </w:p>
          <w:bookmarkEnd w:id="42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cfeb60c" w:id="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非侵入式，安装极简，不停电</w:t>
            </w:r>
          </w:p>
          <w:bookmarkEnd w:id="43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e1130f48" w:id="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易受外部电磁干扰</w:t>
            </w:r>
          </w:p>
          <w:bookmarkEnd w:id="44"/>
        </w:tc>
      </w:tr>
      <w:tr>
        <w:trPr>
          <w:trHeight w:val="495" w:hRule="atLeast"/>
        </w:trPr>
        <w:tc>
          <w:tcPr>
            <w:tcW w:w="276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822bc90" w:id="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超声波法</w:t>
            </w:r>
          </w:p>
          <w:bookmarkEnd w:id="45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1949e91" w:id="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二十千赫兹至二百千赫兹</w:t>
            </w:r>
          </w:p>
          <w:bookmarkEnd w:id="46"/>
        </w:tc>
        <w:tc>
          <w:tcPr>
            <w:tcW w:w="276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9d960ed" w:id="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超声传感器，指向性安装</w:t>
            </w:r>
          </w:p>
          <w:bookmarkEnd w:id="47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9d39dd9" w:id="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可定位放电源，不受电磁干扰</w:t>
            </w:r>
          </w:p>
          <w:bookmarkEnd w:id="48"/>
        </w:tc>
        <w:tc>
          <w:tcPr>
            <w:tcW w:w="270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5c58ef5" w:id="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对表面放电敏感，对内部放电不敏感</w:t>
            </w:r>
          </w:p>
          <w:bookmarkEnd w:id="49"/>
        </w:tc>
      </w:tr>
    </w:tbl>
    <w:bookmarkEnd w:id="29"/>
    <w:bookmarkStart w:name="uc944fbd2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工程实践中的最佳做法是组合使用——用TEV做快速普查，发现异常后用UHF精确定位和定量。三个通道的数据（UHF幅值、TEV幅值、相位分布图）输入AI模型进行联合判断，比单一方法的准确率提升大约百分之十五到二十。</w:t>
      </w:r>
    </w:p>
    <w:bookmarkEnd w:id="50"/>
    <w:bookmarkStart w:name="msg-mr4bm0e3wzi1lh-heading-18" w:id="5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第四维：变压器油色谱（三十五千伏及以上建议配置）</w:t>
      </w:r>
    </w:p>
    <w:bookmarkEnd w:id="51"/>
    <w:bookmarkStart w:name="uf1718f12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对于油浸式变压器，油中溶解气体分析（DGA）被视为状态评估的"金标准"。变压器内部发生不同故障时，绝缘油和固体绝缘材料在热和电的作用下分解出特征气体：</w:t>
      </w:r>
    </w:p>
    <w:bookmarkEnd w:id="52"/>
    <w:bookmarkStart w:name="u6d11f258" w:id="5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过热故障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（铁芯多点接地、绕组匝间短路）：产生大量乙烯和甲烷，伴有少量氢气。温度越高，乙烯占比越大。</w:t>
      </w:r>
    </w:p>
    <w:bookmarkEnd w:id="53"/>
    <w:bookmarkStart w:name="uc2daa7b5" w:id="5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局部放电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：主要产生氢气，少量甲烷。</w:t>
      </w:r>
    </w:p>
    <w:bookmarkEnd w:id="54"/>
    <w:bookmarkStart w:name="u8fafdf0a" w:id="5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电弧放电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：产生大量乙炔和氢气，乙炔几乎是电弧放电的“指纹气体”。</w:t>
      </w:r>
    </w:p>
    <w:bookmarkEnd w:id="55"/>
    <w:bookmarkStart w:name="ua9b5d1ff" w:id="5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在线DGA传感器通过油气分离膜将油中气体提取到气室，利用红外光谱或气相色谱检测各组分浓度——至少覆盖氢气、甲烷、乙烷、乙烯、乙炔、一氧化碳、二氧化碳和微水这八项。数据每小时刷新一次，相比传统三个月一次的离线油样检测，时效性提升了两千倍以上。</w:t>
      </w:r>
    </w:p>
    <w:bookmarkEnd w:id="56"/>
    <w:bookmarkStart w:name="msg-mr4bm0e3wzi1lh-heading-19" w:id="5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第五维：环境监测（标配，低成本）</w:t>
      </w:r>
    </w:p>
    <w:bookmarkEnd w:id="57"/>
    <w:bookmarkStart w:name="u24d3cd48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户外箱变面临太阳直射带来的高温（夏季柜内可达六七十度）、昼夜温差带来的凝露、暴雨导致的水浸、风沙带来的粉尘堆积——这些问题都不是电气故障本身，却是电气故障的头号推手。</w:t>
      </w:r>
    </w:p>
    <w:bookmarkEnd w:id="58"/>
    <w:bookmarkStart w:name="uc6c061a6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环境监测传感器清单：温湿度传感器（每个仓室至少一个）、烟感探测器（每个仓室一个）、水浸传感器（电缆沟和基础底部）、门磁开关（每个柜门）。全部是成熟产品，单件成本几十到几百元，但换来的收益非常实在——环境异常导致绝缘劣化的速度比正常环境快百分之三十到五十，提前控制环境就能大幅延长设备寿命。</w:t>
      </w:r>
    </w:p>
    <w:bookmarkEnd w:id="59"/>
    <w:bookmarkStart w:name="msg-mr4bm0e3wzi1lh-heading-20" w:id="6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第六维：机械状态（可选）</w:t>
      </w:r>
    </w:p>
    <w:bookmarkEnd w:id="60"/>
    <w:bookmarkStart w:name="ubc9eb72e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振动传感器贴在变压器油箱或开关柜外壳上，采集机械振动波形。铁芯接地电流通过穿心式电流互感器测量，正常值通常小于一百毫安，异常增大提示铁芯多点接地。这个维度目前主要用于大型变压器和风电箱变（风机振动环境复杂），在光伏箱变中属于选配。</w:t>
      </w:r>
    </w:p>
    <w:bookmarkEnd w:id="61"/>
    <w:bookmarkStart w:name="msg-mr4bm0e3wzi1lh-heading-21" w:id="6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六维对比总表</w:t>
      </w:r>
    </w:p>
    <w:bookmarkEnd w:id="62"/>
    <w:bookmarkStart w:name="Ximdk" w:id="63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2694"/>
        <w:gridCol w:w="2837"/>
        <w:gridCol w:w="2695"/>
        <w:gridCol w:w="2713"/>
        <w:gridCol w:w="2695"/>
      </w:tblGrid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0fb7eb2" w:id="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监测维度</w:t>
            </w:r>
          </w:p>
          <w:bookmarkEnd w:id="64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10dcf3" w:id="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传感器/方法</w:t>
            </w:r>
          </w:p>
          <w:bookmarkEnd w:id="65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f40ca80" w:id="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技术成熟度</w:t>
            </w:r>
          </w:p>
          <w:bookmarkEnd w:id="66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2b7a9b1" w:id="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部署建议</w:t>
            </w:r>
          </w:p>
          <w:bookmarkEnd w:id="67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844f598" w:id="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单箱估算成本</w:t>
            </w:r>
          </w:p>
          <w:bookmarkEnd w:id="68"/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e0eccb1" w:id="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电气参数</w:t>
            </w:r>
          </w:p>
          <w:bookmarkEnd w:id="69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22f8eb" w:id="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电压/电流互感器+多功能电表</w:t>
            </w:r>
          </w:p>
          <w:bookmarkEnd w:id="70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9b69914" w:id="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成熟</w:t>
            </w:r>
          </w:p>
          <w:bookmarkEnd w:id="71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ab07758" w:id="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标配，每回路一口</w:t>
            </w:r>
          </w:p>
          <w:bookmarkEnd w:id="72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a580824" w:id="7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含在箱变本体中</w:t>
            </w:r>
          </w:p>
          <w:bookmarkEnd w:id="73"/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7445604" w:id="7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温度</w:t>
            </w:r>
          </w:p>
          <w:bookmarkEnd w:id="74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9733169" w:id="7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无线测温/RFID/光纤</w:t>
            </w:r>
          </w:p>
          <w:bookmarkEnd w:id="75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60238ba" w:id="7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成熟</w:t>
            </w:r>
          </w:p>
          <w:bookmarkEnd w:id="76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2d4111f" w:id="7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标配，电缆接头+触头</w:t>
            </w:r>
          </w:p>
          <w:bookmarkEnd w:id="77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c1ef5d9" w:id="7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一千至三千元</w:t>
            </w:r>
          </w:p>
          <w:bookmarkEnd w:id="78"/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e1eef6" w:id="7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局部放电</w:t>
            </w:r>
          </w:p>
          <w:bookmarkEnd w:id="79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59a0d84" w:id="8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UHF/TEV/超声组合</w:t>
            </w:r>
          </w:p>
          <w:bookmarkEnd w:id="80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804de27" w:id="8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较成熟</w:t>
            </w:r>
          </w:p>
          <w:bookmarkEnd w:id="81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4a70652" w:id="8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高压室标配</w:t>
            </w:r>
          </w:p>
          <w:bookmarkEnd w:id="82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cb7dd7f" w:id="8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三千至八千元</w:t>
            </w:r>
          </w:p>
          <w:bookmarkEnd w:id="83"/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ad8fdc" w:id="8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油色谱</w:t>
            </w:r>
          </w:p>
          <w:bookmarkEnd w:id="84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e806f57" w:id="8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在线DGA传感器</w:t>
            </w:r>
          </w:p>
          <w:bookmarkEnd w:id="85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8abcfcf" w:id="8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中高成本</w:t>
            </w:r>
          </w:p>
          <w:bookmarkEnd w:id="86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539876a" w:id="8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三十五千伏建议</w:t>
            </w:r>
          </w:p>
          <w:bookmarkEnd w:id="87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230af76" w:id="8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一万至三万元</w:t>
            </w:r>
          </w:p>
          <w:bookmarkEnd w:id="88"/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b375d15" w:id="8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环境</w:t>
            </w:r>
          </w:p>
          <w:bookmarkEnd w:id="89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33f2266" w:id="9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温湿度/烟感/水浸/门磁</w:t>
            </w:r>
          </w:p>
          <w:bookmarkEnd w:id="90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216a347" w:id="9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成熟</w:t>
            </w:r>
          </w:p>
          <w:bookmarkEnd w:id="91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7b6252" w:id="9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标配</w:t>
            </w:r>
          </w:p>
          <w:bookmarkEnd w:id="92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9dd27b0" w:id="9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五百至一千元</w:t>
            </w:r>
          </w:p>
          <w:bookmarkEnd w:id="93"/>
        </w:tc>
      </w:tr>
      <w:tr>
        <w:trPr>
          <w:trHeight w:val="495" w:hRule="atLeast"/>
        </w:trPr>
        <w:tc>
          <w:tcPr>
            <w:tcW w:w="2694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6e3d69c" w:id="9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机械振动</w:t>
            </w:r>
          </w:p>
          <w:bookmarkEnd w:id="94"/>
        </w:tc>
        <w:tc>
          <w:tcPr>
            <w:tcW w:w="2837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b17162c" w:id="9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振动传感器+铁芯接地</w:t>
            </w:r>
          </w:p>
          <w:bookmarkEnd w:id="95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94b8d8b" w:id="9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发展中</w:t>
            </w:r>
          </w:p>
          <w:bookmarkEnd w:id="96"/>
        </w:tc>
        <w:tc>
          <w:tcPr>
            <w:tcW w:w="271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3d75713" w:id="9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可选</w:t>
            </w:r>
          </w:p>
          <w:bookmarkEnd w:id="97"/>
        </w:tc>
        <w:tc>
          <w:tcPr>
            <w:tcW w:w="2695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40d58bb" w:id="9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两千至五千元</w:t>
            </w:r>
          </w:p>
          <w:bookmarkEnd w:id="98"/>
        </w:tc>
      </w:tr>
    </w:tbl>
    <w:bookmarkEnd w:id="63"/>
    <w:bookmarkStart w:name="u0afe942c" w:id="99"/>
    <w:p>
      <w:pPr>
        <w:spacing w:after="50" w:line="360" w:lineRule="auto" w:beforeLines="100"/>
        <w:ind w:left="0"/>
        <w:jc w:val="left"/>
      </w:pPr>
      <w:bookmarkStart w:name="ubcc31857" w:id="100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0"/>
    </w:p>
    <w:bookmarkEnd w:id="99"/>
    <w:bookmarkStart w:name="u6fe0e07d" w:id="10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边缘计算网关是整个系统真正干活的地方。它承担三个角色：协议翻译官、数据预处理工、本地值班员。</w:t>
      </w:r>
    </w:p>
    <w:bookmarkEnd w:id="101"/>
    <w:bookmarkStart w:name="udae298a7" w:id="10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南向：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（面向传感器）：四路RS485串口，最多可挂接一百二十八个测量单元，支持Modbus RTU和IEC 60870-5-101协议。同时预留HPLC电力线载波、ZigBee和LoRa等无线扩展接口，用于接入无线测温、无线局放等设备。</w:t>
      </w:r>
    </w:p>
    <w:bookmarkEnd w:id="102"/>
    <w:bookmarkStart w:name="uc56b35de" w:id="10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北向：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（面向云端）：一路以太网加一路四G/五G无线加一路NB-IoT，三通道冗余。首选四G/五G，信号差时自动降级到NB-IoT，有光纤条件时用以太网做主通道。上云协议统一用MQTT，这是物联网领域的事实标准——轻量（最小报文仅两个字节）、支持发布/订阅模型、自带QoS质量等级。</w:t>
      </w:r>
    </w:p>
    <w:bookmarkEnd w:id="103"/>
    <w:bookmarkStart w:name="uc05d8101" w:id="104"/>
    <w:p>
      <w:pPr>
        <w:spacing w:after="50" w:line="360" w:lineRule="auto" w:beforeLines="100"/>
        <w:ind w:left="0"/>
        <w:jc w:val="left"/>
      </w:pPr>
      <w:bookmarkStart w:name="u5f9f996d" w:id="105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5"/>
    </w:p>
    <w:bookmarkEnd w:id="104"/>
    <w:bookmarkStart w:name="u3fe6c86a" w:id="10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边缘计算能力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是网关区别于传统RTU（远方终端单元）的核心差异。传统RTU只能透传数据——采到什么传什么。智能网关在本地完成：</w:t>
      </w:r>
    </w:p>
    <w:bookmarkEnd w:id="106"/>
    <w:bookmarkStart w:name="u2d5f2695" w:id="10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故障快判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短路、过流、超温、剩余电流越限等规则类判断在本地毫秒级完成，不需要等云端的往返延迟。</w:t>
      </w:r>
    </w:p>
    <w:bookmarkEnd w:id="107"/>
    <w:bookmarkStart w:name="uc3217ff8" w:id="108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电能质量事件识别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电压暂升/暂降事件的波形捕捉和特征提取。</w:t>
      </w:r>
    </w:p>
    <w:bookmarkEnd w:id="108"/>
    <w:bookmarkStart w:name="uc6586c98" w:id="109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故障录波触发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当短路或过流发生时，以十毫秒级分辨率记录故障前后共四十个周波的电压电流波形，作为事后故障分析的原始证据。</w:t>
      </w:r>
    </w:p>
    <w:bookmarkEnd w:id="109"/>
    <w:bookmarkStart w:name="u4bdb24c3" w:id="110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数据统计与压缩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最大/最小/平均/累加值按时段（十五分钟、一小时、一天）预计算，减少上行数据量。一台箱变如果每秒采集五十个数据点，一天产生约四百三十万条记录。经过边缘统计压缩后，上行到云端的数据量可减少百分之九十以上——在四G按流量计费的场景下，这是实打实的成本节约。</w:t>
      </w:r>
    </w:p>
    <w:bookmarkEnd w:id="110"/>
    <w:bookmarkStart w:name="uf1f8effb" w:id="111"/>
    <w:p>
      <w:pPr>
        <w:spacing w:after="50" w:line="360" w:lineRule="auto" w:beforeLines="100"/>
        <w:ind w:left="0"/>
        <w:jc w:val="left"/>
      </w:pPr>
      <w:bookmarkStart w:name="udaa54600" w:id="11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2"/>
    </w:p>
    <w:bookmarkEnd w:id="111"/>
    <w:bookmarkStart w:name="u1909896e" w:id="1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网关把数据送上云之后，平台层接手后续工作。</w:t>
      </w:r>
    </w:p>
    <w:bookmarkEnd w:id="113"/>
    <w:bookmarkStart w:name="ua159f64d" w:id="1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设备接入与物模型管理：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主流物联网平台（阿里云IoT、华为云IoT）通过“产品—设备—密钥”三元组完成设备身份认证。每一台箱变在云端都有一个数字化的“物模型”，定义了它的属性（遥测值、遥信状态、脉冲累计）、事件（告警、状态变化序列）和服务（遥控命令、录波文件调阅）。物模型标准化是整个行业推进互操作性的基础——不同品牌、不同类型的设备，只要遵循同一套物模型，就能在同一平台上统一管理。</w:t>
      </w:r>
    </w:p>
    <w:bookmarkEnd w:id="114"/>
    <w:bookmarkStart w:name="u6698b706" w:id="1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规则引擎与数据路由：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 xml:space="preserve"> 平台内置的规则引擎类似SQL语言的脚本处理方式，实时解析MQTT主题中的数据，根据预定规则转发到不同的后端。比如：温度超限事件推送到告警服务并同时存入时序数据库，正常遥测数据直接入时序库，录波文件写入对象存储。</w:t>
      </w:r>
    </w:p>
    <w:bookmarkEnd w:id="115"/>
    <w:bookmarkStart w:name="ub379bfa2" w:id="1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时序数据库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箱变数据的天然属性是“时间标签加数值”——每一秒钟、每一分钟的新数据追加进来，几乎不修改已写入的历史数据。这是时序数据库（如TDengine、InfluxDB）最擅长的场景，相比通用关系型数据库，时序库在写入速度和存储压缩方面有数量级优势。一台箱变一年的全量秒级数据，经过时序库压缩后通常只占用几GB级别的空间。</w:t>
      </w:r>
    </w:p>
    <w:bookmarkEnd w:id="116"/>
    <w:bookmarkStart w:name="u6264fae6" w:id="117"/>
    <w:p>
      <w:pPr>
        <w:spacing w:after="50" w:line="360" w:lineRule="auto" w:beforeLines="100"/>
        <w:ind w:left="0"/>
        <w:jc w:val="left"/>
      </w:pPr>
      <w:bookmarkStart w:name="u8e9521ce" w:id="118"/>
      <w:r>
        <w:rPr>
          <w:rFonts w:eastAsia="宋体" w:ascii="宋体"/>
        </w:rPr>
        <w:drawing>
          <wp:inline distT="0" distB="0" distL="0" distR="0">
            <wp:extent cx="5842000" cy="307871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366663" cy="5131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8"/>
    </w:p>
    <w:bookmarkEnd w:id="117"/>
    <w:bookmarkStart w:name="u58952010" w:id="1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AI诊断引擎：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 xml:space="preserve"> 这是平台层的核心增值模块。它不是简单的“大于阈值就告警”，而是一个多层次的判断体系：</w:t>
      </w:r>
    </w:p>
    <w:bookmarkEnd w:id="119"/>
    <w:bookmarkStart w:name="uf4e818fa" w:id="1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第一层是规则引擎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——基于行业标准的确定性规则。比如变压器油色谱的三比值法：当乙烯/乙烷比值落在某个区间，对应判断为过热故障；当乙炔/乙烯比值落在另一个区间，对应判断为电弧放电。这些规则来自DL/T 722《变压器油中溶解气体分析和判断导则》等国标，是可解释的、工程师信任的判断。</w:t>
      </w:r>
    </w:p>
    <w:bookmarkEnd w:id="120"/>
    <w:bookmarkStart w:name="u2ccafa60" w:id="1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第二层是统计模型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——基于历史基线检测异常趋势。比如某条电缆接头的温度在过去一周内每天爬升零点五度，虽然单日数值仍在“正常范围”内，但累计趋势表明接触电阻在持续恶化。统计模型捕捉的是“变化”，而不是“绝对值”。</w:t>
      </w:r>
    </w:p>
    <w:bookmarkEnd w:id="121"/>
    <w:bookmarkStart w:name="u8b781103" w:id="1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第三层是机器学习模型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——处理高维复杂模式。比如局部放电的相位分布图谱是一张二维图像，不同故障类型（内部气隙放电、沿面放电、电晕放电）的图谱形状不同。用卷积神经网络加长短期记忆网络（CNN+LSTM）来分类这些图谱，在已有标注训练数据的条件下，准确率可达百分之八十五以上。</w:t>
      </w:r>
    </w:p>
    <w:bookmarkEnd w:id="122"/>
    <w:bookmarkStart w:name="u3d94809e" w:id="123"/>
    <w:p>
      <w:pPr>
        <w:spacing w:after="50" w:line="360" w:lineRule="auto" w:beforeLines="100"/>
        <w:ind w:left="0"/>
        <w:jc w:val="left"/>
      </w:pPr>
      <w:bookmarkStart w:name="u505ddcf4" w:id="124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4"/>
    </w:p>
    <w:bookmarkEnd w:id="123"/>
    <w:bookmarkStart w:name="udcc103d3" w:id="1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应用层是用户直接接触的界面。核心模块包括：</w:t>
      </w:r>
    </w:p>
    <w:bookmarkEnd w:id="125"/>
    <w:bookmarkStart w:name="ucd04fc91" w:id="12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运行监视大屏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GIS地图展示所有箱变位置，颜色标识健康状态（绿/黄/橙/红），点击进入单台详情。</w:t>
      </w:r>
    </w:p>
    <w:bookmarkEnd w:id="126"/>
    <w:bookmarkStart w:name="u5cffa9eb" w:id="12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告警推送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分级告警（注意、异常、严重），通过短信、APP推送、企业微信等多通道送达。</w:t>
      </w:r>
    </w:p>
    <w:bookmarkEnd w:id="127"/>
    <w:bookmarkStart w:name="u64206fe9" w:id="12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诊断报告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定期自动生成健康评估报告，包含健康指数评分（零到一百分）、历史趋势图、同类设备对比。</w:t>
      </w:r>
    </w:p>
    <w:bookmarkEnd w:id="128"/>
    <w:bookmarkStart w:name="ud15c2876" w:id="12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运维工单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告警自动生成工单并派发给对应区域的运维人员，闭环跟踪从接单、到场、检修、验收的全过程。</w:t>
      </w:r>
    </w:p>
    <w:bookmarkEnd w:id="129"/>
    <w:bookmarkStart w:name="u903a4b84" w:id="130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远程控制</w:t>
      </w:r>
      <w:r>
        <w:rPr>
          <w:rFonts w:ascii="宋体" w:hAnsi="Times New Roman" w:eastAsia="宋体"/>
          <w:b w:val="false"/>
          <w:i w:val="false"/>
          <w:color w:val="004347"/>
          <w:sz w:val="21"/>
          <w:shd w:fill="f5f5f5"/>
        </w:rPr>
        <w:t>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经过五防规则校验的远程分合闸操作，支持一键顺控，从操作票生成到执行归档全程电子化。</w:t>
      </w:r>
    </w:p>
    <w:bookmarkEnd w:id="130"/>
    <w:bookmarkStart w:name="u390b10a3" w:id="131"/>
    <w:p>
      <w:pPr>
        <w:spacing w:after="50" w:line="360" w:lineRule="auto" w:beforeLines="100"/>
        <w:ind w:left="0"/>
        <w:jc w:val="left"/>
      </w:pPr>
      <w:bookmarkStart w:name="u551434e9" w:id="132"/>
      <w:r>
        <w:rPr>
          <w:rFonts w:eastAsia="宋体" w:ascii="宋体"/>
        </w:rPr>
        <w:drawing>
          <wp:inline distT="0" distB="0" distL="0" distR="0">
            <wp:extent cx="5842000" cy="309039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7906800" cy="62372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2"/>
    </w:p>
    <w:bookmarkEnd w:id="131"/>
    <w:bookmarkStart w:name="msg-mr4bm0e3wzi1lh-heading-25" w:id="133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通信方案选择：因地制宜</w:t>
      </w:r>
    </w:p>
    <w:bookmarkEnd w:id="133"/>
    <w:bookmarkStart w:name="YgVjN" w:id="134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4519"/>
        <w:gridCol w:w="4603"/>
        <w:gridCol w:w="4512"/>
      </w:tblGrid>
      <w:tr>
        <w:trPr>
          <w:trHeight w:val="495" w:hRule="atLeast"/>
        </w:trPr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3ffaab0" w:id="13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场景</w:t>
            </w:r>
          </w:p>
          <w:bookmarkEnd w:id="135"/>
        </w:tc>
        <w:tc>
          <w:tcPr>
            <w:tcW w:w="46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7e4e7f0" w:id="13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推荐通信方式</w:t>
            </w:r>
          </w:p>
          <w:bookmarkEnd w:id="136"/>
        </w:tc>
        <w:tc>
          <w:tcPr>
            <w:tcW w:w="451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aae80f9" w:id="13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理由</w:t>
            </w:r>
          </w:p>
          <w:bookmarkEnd w:id="137"/>
        </w:tc>
      </w:tr>
      <w:tr>
        <w:trPr>
          <w:trHeight w:val="495" w:hRule="atLeast"/>
        </w:trPr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5082bfbd" w:id="13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城市配电网（有光纤）</w:t>
            </w:r>
          </w:p>
          <w:bookmarkEnd w:id="138"/>
        </w:tc>
        <w:tc>
          <w:tcPr>
            <w:tcW w:w="46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71a224d" w:id="13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光纤 + 四G双通道</w:t>
            </w:r>
          </w:p>
          <w:bookmarkEnd w:id="139"/>
        </w:tc>
        <w:tc>
          <w:tcPr>
            <w:tcW w:w="451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0ec8d4d6" w:id="14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高可靠加备份</w:t>
            </w:r>
          </w:p>
          <w:bookmarkEnd w:id="140"/>
        </w:tc>
      </w:tr>
      <w:tr>
        <w:trPr>
          <w:trHeight w:val="495" w:hRule="atLeast"/>
        </w:trPr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94af6db" w:id="14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大型地面光伏/风电（偏远）</w:t>
            </w:r>
          </w:p>
          <w:bookmarkEnd w:id="141"/>
        </w:tc>
        <w:tc>
          <w:tcPr>
            <w:tcW w:w="46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74a9a4b" w:id="14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四G/五G主通道 + LoRa备用</w:t>
            </w:r>
          </w:p>
          <w:bookmarkEnd w:id="142"/>
        </w:tc>
        <w:tc>
          <w:tcPr>
            <w:tcW w:w="451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d9b831d" w:id="14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覆盖好，成本可控</w:t>
            </w:r>
          </w:p>
          <w:bookmarkEnd w:id="143"/>
        </w:tc>
      </w:tr>
      <w:tr>
        <w:trPr>
          <w:trHeight w:val="495" w:hRule="atLeast"/>
        </w:trPr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112298" w:id="14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无信号区（深山、戈壁）</w:t>
            </w:r>
          </w:p>
          <w:bookmarkEnd w:id="144"/>
        </w:tc>
        <w:tc>
          <w:tcPr>
            <w:tcW w:w="46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ece39ae" w:id="14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卫星 + LoRa Mesh自组网</w:t>
            </w:r>
          </w:p>
          <w:bookmarkEnd w:id="145"/>
        </w:tc>
        <w:tc>
          <w:tcPr>
            <w:tcW w:w="451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6bc5041" w:id="14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成本高，仅必需时用</w:t>
            </w:r>
          </w:p>
          <w:bookmarkEnd w:id="146"/>
        </w:tc>
      </w:tr>
      <w:tr>
        <w:trPr>
          <w:trHeight w:val="495" w:hRule="atLeast"/>
        </w:trPr>
        <w:tc>
          <w:tcPr>
            <w:tcW w:w="451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7356ca8" w:id="14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存量改造（不宜铺线）</w:t>
            </w:r>
          </w:p>
          <w:bookmarkEnd w:id="147"/>
        </w:tc>
        <w:tc>
          <w:tcPr>
            <w:tcW w:w="4603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0751d4d" w:id="14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NB-IoT + 网关</w:t>
            </w:r>
          </w:p>
          <w:bookmarkEnd w:id="148"/>
        </w:tc>
        <w:tc>
          <w:tcPr>
            <w:tcW w:w="4512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b1bc24b" w:id="14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低成本、快部署</w:t>
            </w:r>
          </w:p>
          <w:bookmarkEnd w:id="149"/>
        </w:tc>
      </w:tr>
    </w:tbl>
    <w:bookmarkEnd w:id="134"/>
    <w:bookmarkStart w:name="msg-mr4bm0e3wzi1lh-heading-26" w:id="150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梯次配置：不同预算不同方案</w:t>
      </w:r>
    </w:p>
    <w:bookmarkEnd w:id="150"/>
    <w:bookmarkStart w:name="u9930a9f0" w:id="1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一套方案不可能适合所有人。根据箱变电压等级、场景重要性、预算约束，轨物科技提供四个梯次的配置方案：</w:t>
      </w:r>
    </w:p>
    <w:bookmarkEnd w:id="151"/>
    <w:bookmarkStart w:name="LzvjA" w:id="152"/>
    <w:tbl>
      <w:tblPr>
        <w:tblW w:w="0" w:type="auto"/>
        <w:tblCellSpacing w:w="0" w:type="auto"/>
        <w:tblInd w:w="115" w:type="dxa"/>
        <w:tblBorders>
          <w:top w:val="single" w:color="cccccc" w:sz="8"/>
          <w:left w:val="single" w:color="cccccc" w:sz="8"/>
          <w:bottom w:val="single" w:color="cccccc" w:sz="8"/>
          <w:right w:val="single" w:color="cccccc" w:sz="8"/>
          <w:insideH w:val="none"/>
          <w:insideV w:val="none"/>
        </w:tblBorders>
      </w:tblPr>
      <w:tblGrid>
        <w:gridCol w:w="3388"/>
        <w:gridCol w:w="3468"/>
        <w:gridCol w:w="3389"/>
        <w:gridCol w:w="3389"/>
      </w:tblGrid>
      <w:tr>
        <w:trPr>
          <w:trHeight w:val="495" w:hRule="atLeast"/>
        </w:trPr>
        <w:tc>
          <w:tcPr>
            <w:tcW w:w="33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9e5496b" w:id="15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方案</w:t>
            </w:r>
          </w:p>
          <w:bookmarkEnd w:id="153"/>
        </w:tc>
        <w:tc>
          <w:tcPr>
            <w:tcW w:w="34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80f38614" w:id="15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典型配置</w:t>
            </w:r>
          </w:p>
          <w:bookmarkEnd w:id="154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b27e224" w:id="15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单台估算</w:t>
            </w:r>
          </w:p>
          <w:bookmarkEnd w:id="155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4f92ef4b" w:id="15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/>
                <w:i w:val="false"/>
                <w:color w:val="1a1a1a"/>
                <w:sz w:val="19"/>
              </w:rPr>
              <w:t>适用场景</w:t>
            </w:r>
          </w:p>
          <w:bookmarkEnd w:id="156"/>
        </w:tc>
      </w:tr>
      <w:tr>
        <w:trPr>
          <w:trHeight w:val="495" w:hRule="atLeast"/>
        </w:trPr>
        <w:tc>
          <w:tcPr>
            <w:tcW w:w="33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4db3b0c" w:id="15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基础型</w:t>
            </w:r>
          </w:p>
          <w:bookmarkEnd w:id="157"/>
        </w:tc>
        <w:tc>
          <w:tcPr>
            <w:tcW w:w="34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29201b0" w:id="15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电表+测温+网关+云平台</w:t>
            </w:r>
          </w:p>
          <w:bookmarkEnd w:id="158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76c09dbd" w:id="15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三千至五千元</w:t>
            </w:r>
          </w:p>
          <w:bookmarkEnd w:id="159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919435e" w:id="16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分布式光伏、配电房改造</w:t>
            </w:r>
          </w:p>
          <w:bookmarkEnd w:id="160"/>
        </w:tc>
      </w:tr>
      <w:tr>
        <w:trPr>
          <w:trHeight w:val="495" w:hRule="atLeast"/>
        </w:trPr>
        <w:tc>
          <w:tcPr>
            <w:tcW w:w="33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c1791249" w:id="16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标准型</w:t>
            </w:r>
          </w:p>
          <w:bookmarkEnd w:id="161"/>
        </w:tc>
        <w:tc>
          <w:tcPr>
            <w:tcW w:w="34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3df7900" w:id="16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基础型+局放+环境传感</w:t>
            </w:r>
          </w:p>
          <w:bookmarkEnd w:id="162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dab97325" w:id="163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八千至一万五千元</w:t>
            </w:r>
          </w:p>
          <w:bookmarkEnd w:id="163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aeebf809" w:id="164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集中式光伏、三十五千伏箱变</w:t>
            </w:r>
          </w:p>
          <w:bookmarkEnd w:id="164"/>
        </w:tc>
      </w:tr>
      <w:tr>
        <w:trPr>
          <w:trHeight w:val="495" w:hRule="atLeast"/>
        </w:trPr>
        <w:tc>
          <w:tcPr>
            <w:tcW w:w="33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9404f5ca" w:id="165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旗舰型</w:t>
            </w:r>
          </w:p>
          <w:bookmarkEnd w:id="165"/>
        </w:tc>
        <w:tc>
          <w:tcPr>
            <w:tcW w:w="34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229e5d5b" w:id="166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标准型+油色谱+振动+AI</w:t>
            </w:r>
          </w:p>
          <w:bookmarkEnd w:id="166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24ec56d" w:id="167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两万至四万元</w:t>
            </w:r>
          </w:p>
          <w:bookmarkEnd w:id="167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34fc31ee" w:id="168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风电箱变、关键节点</w:t>
            </w:r>
          </w:p>
          <w:bookmarkEnd w:id="168"/>
        </w:tc>
      </w:tr>
      <w:tr>
        <w:trPr>
          <w:trHeight w:val="495" w:hRule="atLeast"/>
        </w:trPr>
        <w:tc>
          <w:tcPr>
            <w:tcW w:w="338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f6d5d1eb" w:id="169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全息型</w:t>
            </w:r>
          </w:p>
          <w:bookmarkEnd w:id="169"/>
        </w:tc>
        <w:tc>
          <w:tcPr>
            <w:tcW w:w="3468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6fddf845" w:id="170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旗舰型+数字孪生+预测性维护</w:t>
            </w:r>
          </w:p>
          <w:bookmarkEnd w:id="170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178b2ca6" w:id="171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五万元以上</w:t>
            </w:r>
          </w:p>
          <w:bookmarkEnd w:id="171"/>
        </w:tc>
        <w:tc>
          <w:tcPr>
            <w:tcW w:w="3389" w:type="dxa"/>
            <w:tcBorders>
              <w:top w:val="single" w:color="eeeeee" w:sz="8"/>
              <w:left w:val="single" w:color="eeeeee" w:sz="8"/>
              <w:bottom w:val="single" w:color="eeeeee" w:sz="8"/>
              <w:right w:val="single" w:color="eeeeee" w:sz="8"/>
            </w:tcBorders>
            <w:shd w:fill="f5f5f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ubead2fc3" w:id="172"/>
          <w:p>
            <w:pPr>
              <w:spacing w:after="50" w:line="360" w:lineRule="auto" w:beforeLines="100"/>
              <w:ind w:left="0"/>
              <w:jc w:val="left"/>
            </w:pPr>
            <w:r>
              <w:rPr>
                <w:rFonts w:ascii="宋体" w:hAnsi="Times New Roman" w:eastAsia="宋体"/>
                <w:b w:val="false"/>
                <w:i w:val="false"/>
                <w:color w:val="666666"/>
                <w:sz w:val="19"/>
              </w:rPr>
              <w:t>示范项目、枢纽节点</w:t>
            </w:r>
          </w:p>
          <w:bookmarkEnd w:id="172"/>
        </w:tc>
      </w:tr>
    </w:tbl>
    <w:bookmarkEnd w:id="152"/>
    <w:bookmarkStart w:name="u2b64cb83" w:id="17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666666"/>
          <w:sz w:val="21"/>
          <w:shd w:fill="f5f5f5"/>
        </w:rPr>
        <w:t>成本估算含三年平台服务费。百台以上批量部署可降低百分之二十到三十。</w:t>
      </w:r>
    </w:p>
    <w:bookmarkEnd w:id="173"/>
    <w:bookmarkStart w:name="ubedca68a" w:id="174"/>
    <w:p>
      <w:pPr>
        <w:spacing w:after="50" w:line="360" w:lineRule="auto" w:beforeLines="100"/>
        <w:ind w:left="0"/>
        <w:jc w:val="left"/>
      </w:pPr>
      <w:bookmarkStart w:name="u455cdd3f" w:id="175"/>
      <w:r>
        <w:rPr>
          <w:rFonts w:eastAsia="宋体" w:ascii="宋体"/>
        </w:rPr>
        <w:drawing>
          <wp:inline distT="0" distB="0" distL="0" distR="0">
            <wp:extent cx="5841999" cy="126185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58267" cy="37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5"/>
    </w:p>
    <w:bookmarkEnd w:id="174"/>
    <w:bookmarkStart w:name="uf00e8b35" w:id="1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箱变智能化的四层架构，不是理论，是工程实践中沉淀下来的最优解。感知层决定了你能看到多少，边缘层决定了你能多快做出反应，平台层决定了你能从数据里挖出多少价值，应用层决定了这些价值能否真正送到运维人员手上。</w:t>
      </w:r>
    </w:p>
    <w:bookmarkEnd w:id="176"/>
    <w:bookmarkStart w:name="u5b94450f" w:id="17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下一步，如果你已经理解了这套架构，就可以进入更深一层：每一个维度的传感器选型有哪些参数取舍？AI诊断算法内部到底怎么工作？数字孪生技术如何落地到箱变场景？这些内容将在第三篇“深度拆解篇”中逐一展开。</w:t>
      </w:r>
    </w:p>
    <w:bookmarkEnd w:id="177"/>
    <w:bookmarkStart w:name="u48e408a5" w:id="178"/>
    <w:p>
      <w:pPr>
        <w:spacing w:after="50" w:line="360" w:lineRule="auto" w:beforeLines="100"/>
        <w:ind w:left="0"/>
        <w:jc w:val="left"/>
      </w:pPr>
      <w:bookmarkStart w:name="HF6a8" w:id="179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9"/>
    </w:p>
    <w:bookmarkEnd w:id="178"/>
    <w:bookmarkStart w:name="u8d2b3d07" w:id="180"/>
    <w:p>
      <w:pPr>
        <w:spacing w:after="50" w:line="360" w:lineRule="auto" w:beforeLines="100"/>
        <w:ind w:left="0"/>
        <w:jc w:val="left"/>
      </w:pPr>
      <w:bookmarkStart w:name="ue00a6830" w:id="181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1"/>
    </w:p>
    <w:bookmarkEnd w:id="180"/>
    <w:bookmarkStart w:name="ubd68c99d" w:id="182"/>
    <w:p>
      <w:pPr>
        <w:spacing w:after="50" w:line="360" w:lineRule="auto" w:beforeLines="100"/>
        <w:ind w:left="0"/>
        <w:jc w:val="left"/>
      </w:pPr>
      <w:bookmarkStart w:name="pdHGx" w:id="183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3"/>
      <w:bookmarkStart w:name="ue1ac06da" w:id="184"/>
      <w:r>
        <w:rPr>
          <w:rFonts w:eastAsia="宋体" w:ascii="宋体"/>
        </w:rPr>
        <w:drawing>
          <wp:inline distT="0" distB="0" distL="0" distR="0">
            <wp:extent cx="5841999" cy="52577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4"/>
      <w:bookmarkStart w:name="u8ff858a6" w:id="185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5"/>
      <w:bookmarkStart w:name="u462d5edb" w:id="186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6"/>
      <w:bookmarkStart w:name="uf885acdf" w:id="187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7"/>
      <w:bookmarkStart w:name="ufe933551" w:id="188"/>
      <w:r>
        <w:rPr>
          <w:rFonts w:eastAsia="宋体" w:ascii="宋体"/>
        </w:rPr>
        <w:drawing>
          <wp:inline distT="0" distB="0" distL="0" distR="0">
            <wp:extent cx="5842000" cy="131442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8"/>
    </w:p>
    <w:bookmarkEnd w:id="182"/>
    <w:bookmarkStart w:name="ucd57c9a6" w:id="189"/>
    <w:bookmarkEnd w:id="18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