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4.png"/>
  <Override ContentType="image/png" PartName="/word/media/document_image_rId15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 】 光伏电站智慧运维全栈解决方案</w:t>
      </w:r>
    </w:p>
    <w:p>
      <w:pPr>
        <w:spacing w:after="50" w:line="360" w:lineRule="auto" w:beforeLines="100"/>
        <w:ind w:left="0"/>
        <w:jc w:val="left"/>
      </w:pPr>
      <w:bookmarkStart w:name="u570732cc" w:id="0"/>
      <w:bookmarkStart w:name="u6db0f409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4cd32cee" w:id="2"/>
    <w:p>
      <w:pPr>
        <w:spacing w:after="50" w:line="360" w:lineRule="auto" w:beforeLines="100"/>
        <w:ind w:left="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光伏电站的数智化运维转型，亟需一套覆盖设备、数据和服务的全栈解决方案。轨物科技依托10余年技术积累与“</w:t>
      </w:r>
      <w:r>
        <w:rPr>
          <w:rFonts w:ascii="宋体" w:hAnsi="Times New Roman" w:eastAsia="宋体"/>
          <w:b/>
          <w:i w:val="false"/>
          <w:color w:val="000000"/>
          <w:sz w:val="22"/>
          <w:u w:val="single"/>
        </w:rPr>
        <w:t>产学研用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”闭环模式，推出</w:t>
      </w:r>
      <w:r>
        <w:rPr>
          <w:rFonts w:ascii="宋体" w:hAnsi="Times New Roman" w:eastAsia="宋体"/>
          <w:b/>
          <w:i w:val="false"/>
          <w:color w:val="000000"/>
          <w:sz w:val="22"/>
        </w:rPr>
        <w:t>智能光伏清洁运维机器人系统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，从硬件创新、AI算法、平台建设等维度构建综合能力，助力企业实现降本增效、安全升级的转型目标。 </w:t>
      </w:r>
    </w:p>
    <w:bookmarkEnd w:id="2"/>
    <w:bookmarkStart w:name="u403503a2" w:id="3"/>
    <w:p>
      <w:pPr>
        <w:spacing w:after="50" w:line="360" w:lineRule="auto" w:beforeLines="100"/>
        <w:ind w:left="0"/>
        <w:jc w:val="left"/>
      </w:pPr>
      <w:bookmarkStart w:name="u20cf875b" w:id="4"/>
      <w:r>
        <w:rPr>
          <w:rFonts w:eastAsia="宋体" w:ascii="宋体"/>
        </w:rPr>
        <w:drawing>
          <wp:inline distT="0" distB="0" distL="0" distR="0">
            <wp:extent cx="5841999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196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bookmarkEnd w:id="3"/>
    <w:bookmarkStart w:name="u3ca2f1fa" w:id="5"/>
    <w:p>
      <w:pPr>
        <w:numPr>
          <w:ilvl w:val="0"/>
          <w:numId w:val="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硬件层：全地形适配机器人平台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5"/>
    <w:bookmarkStart w:name="udee7de42" w:id="6"/>
    <w:p>
      <w:pPr>
        <w:numPr>
          <w:ilvl w:val="1"/>
          <w:numId w:val="2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智能光伏清洁机器人（PV-Clarity系列）：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采用无水清洗技术与柔性结构设计，适配不同材质组件（铝边框、钢边框）及复杂地形（山地、水面），实现清洁效率提升3倍以上。 </w:t>
      </w:r>
    </w:p>
    <w:bookmarkEnd w:id="6"/>
    <w:bookmarkStart w:name="u0c7be7e0" w:id="7"/>
    <w:p>
      <w:pPr>
        <w:numPr>
          <w:ilvl w:val="1"/>
          <w:numId w:val="3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光伏组件缺陷检测机器人（PV-Guardian系列）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：搭载移动式PL检测模块，可同时检测隐裂、热斑、二极管故障等10余种缺陷，检测精度达95%（IEC-61215标准）。</w:t>
      </w:r>
    </w:p>
    <w:bookmarkEnd w:id="7"/>
    <w:bookmarkStart w:name="u0107399d" w:id="8"/>
    <w:p>
      <w:pPr>
        <w:numPr>
          <w:ilvl w:val="0"/>
          <w:numId w:val="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AI中台：垂直大模型赋能精准决策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8"/>
    <w:bookmarkStart w:name="u128b582a" w:id="9"/>
    <w:p>
      <w:pPr>
        <w:numPr>
          <w:ilvl w:val="1"/>
          <w:numId w:val="5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多模态数据融合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：整合组件清洁度、电气参数、气象数据等多维度信息，生成分钟级故障诊断报告与超短期发电预测（误差率&lt;2%）。 </w:t>
      </w:r>
    </w:p>
    <w:bookmarkEnd w:id="9"/>
    <w:bookmarkStart w:name="ub9096599" w:id="10"/>
    <w:p>
      <w:pPr>
        <w:numPr>
          <w:ilvl w:val="1"/>
          <w:numId w:val="6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自然语言交互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：通过会话式AI平台，运维人员可使用自然语言查询设备状态，系统自动匹配解决方案，降低培训成本50%。</w:t>
      </w:r>
    </w:p>
    <w:bookmarkEnd w:id="10"/>
    <w:bookmarkStart w:name="u30641fd5" w:id="11"/>
    <w:p>
      <w:pPr>
        <w:numPr>
          <w:ilvl w:val="0"/>
          <w:numId w:val="7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运维平台：从“单点管理”到“整站优化”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11"/>
    <w:bookmarkStart w:name="u5b3a2180" w:id="12"/>
    <w:p>
      <w:pPr>
        <w:numPr>
          <w:ilvl w:val="1"/>
          <w:numId w:val="8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智能清洗调度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：基于气象预测与污染数据，实现“按需清洁”策略，避免无效作业导致的资源浪费。 </w:t>
      </w:r>
    </w:p>
    <w:bookmarkEnd w:id="12"/>
    <w:bookmarkStart w:name="u3b1354ab" w:id="13"/>
    <w:p>
      <w:pPr>
        <w:numPr>
          <w:ilvl w:val="1"/>
          <w:numId w:val="9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全站健康评估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：通过分析组件衰减率、支架稳定性、电气损耗等多项指标，输出电站全生命周期ROI模型。</w:t>
      </w:r>
    </w:p>
    <w:bookmarkEnd w:id="13"/>
    <w:bookmarkStart w:name="u3f8d8294" w:id="14"/>
    <w:p>
      <w:pPr>
        <w:spacing w:after="50" w:line="360" w:lineRule="auto" w:beforeLines="100"/>
        <w:ind w:left="0"/>
        <w:jc w:val="left"/>
      </w:pPr>
      <w:bookmarkStart w:name="u6eb5c5b6" w:id="15"/>
      <w:r>
        <w:rPr>
          <w:rFonts w:eastAsia="宋体" w:ascii="宋体"/>
        </w:rPr>
        <w:drawing>
          <wp:inline distT="0" distB="0" distL="0" distR="0">
            <wp:extent cx="5842000" cy="221991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25333" cy="62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5"/>
    </w:p>
    <w:bookmarkEnd w:id="14"/>
    <w:bookmarkStart w:name="uef4b2666" w:id="16"/>
    <w:p>
      <w:pPr>
        <w:spacing w:after="50" w:line="360" w:lineRule="auto" w:beforeLines="100"/>
        <w:ind w:left="0"/>
        <w:jc w:val="left"/>
      </w:pPr>
      <w:bookmarkStart w:name="ua4d286bc" w:id="17"/>
      <w:r>
        <w:rPr>
          <w:rFonts w:eastAsia="宋体" w:ascii="宋体"/>
        </w:rPr>
        <w:drawing>
          <wp:inline distT="0" distB="0" distL="0" distR="0">
            <wp:extent cx="5841999" cy="13786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6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02b65829" w:id="18"/>
    <w:p>
      <w:pPr>
        <w:numPr>
          <w:ilvl w:val="0"/>
          <w:numId w:val="10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大型地面电站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18"/>
    <w:bookmarkStart w:name="u8b75949f" w:id="19"/>
    <w:p>
      <w:pPr>
        <w:numPr>
          <w:ilvl w:val="1"/>
          <w:numId w:val="11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采用“双机器人集群+桥架联动”模式，覆盖数万平米组件，实现全站无死角清洁与检测。 </w:t>
      </w:r>
    </w:p>
    <w:bookmarkEnd w:id="19"/>
    <w:bookmarkStart w:name="u2aff7fa7" w:id="20"/>
    <w:p>
      <w:pPr>
        <w:numPr>
          <w:ilvl w:val="1"/>
          <w:numId w:val="12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兼容±60°支架停机角度，确保机器人通过性与系统稳定性。</w:t>
      </w:r>
    </w:p>
    <w:bookmarkEnd w:id="20"/>
    <w:bookmarkStart w:name="u32f2967f" w:id="21"/>
    <w:p>
      <w:pPr>
        <w:numPr>
          <w:ilvl w:val="0"/>
          <w:numId w:val="1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水面漂浮电站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21"/>
    <w:bookmarkStart w:name="u1e8c7446" w:id="22"/>
    <w:p>
      <w:pPr>
        <w:numPr>
          <w:ilvl w:val="1"/>
          <w:numId w:val="14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针对水面环境设计防腐蚀、防水渍的特殊模块，结合潮汐与风速数据优化清洁频次。</w:t>
      </w:r>
    </w:p>
    <w:bookmarkEnd w:id="22"/>
    <w:bookmarkStart w:name="u215ae844" w:id="23"/>
    <w:p>
      <w:pPr>
        <w:numPr>
          <w:ilvl w:val="0"/>
          <w:numId w:val="15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分布式工商业电站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23"/>
    <w:bookmarkStart w:name="u013b68c7" w:id="24"/>
    <w:p>
      <w:pPr>
        <w:numPr>
          <w:ilvl w:val="1"/>
          <w:numId w:val="16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小型化、模块化的硬件部署方案，适配屋顶、立面等多样化场景。 </w:t>
      </w:r>
    </w:p>
    <w:bookmarkEnd w:id="24"/>
    <w:bookmarkStart w:name="u75a59592" w:id="25"/>
    <w:p>
      <w:pPr>
        <w:numPr>
          <w:ilvl w:val="1"/>
          <w:numId w:val="17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嵌入式SaaS平台降低部署成本，灵活匹配客户运维需求。</w:t>
      </w:r>
    </w:p>
    <w:bookmarkEnd w:id="25"/>
    <w:bookmarkStart w:name="ua3de1077" w:id="26"/>
    <w:p>
      <w:pPr>
        <w:numPr>
          <w:ilvl w:val="0"/>
          <w:numId w:val="18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老旧电站改造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</w:t>
      </w:r>
    </w:p>
    <w:bookmarkEnd w:id="26"/>
    <w:bookmarkStart w:name="uab106853" w:id="27"/>
    <w:p>
      <w:pPr>
        <w:numPr>
          <w:ilvl w:val="1"/>
          <w:numId w:val="19"/>
        </w:numPr>
        <w:spacing w:after="50" w:line="360" w:lineRule="auto" w:beforeLines="100"/>
        <w:ind w:left="720"/>
        <w:jc w:val="both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基于现有设备的“升级适配”方案，通过智能诊断定位隐藏故障，提升弃光率并延长设备寿命。</w:t>
      </w:r>
    </w:p>
    <w:bookmarkEnd w:id="27"/>
    <w:bookmarkStart w:name="u27b8702a" w:id="28"/>
    <w:p>
      <w:pPr>
        <w:spacing w:after="50" w:line="360" w:lineRule="auto" w:beforeLines="100"/>
        <w:ind w:left="0"/>
        <w:jc w:val="left"/>
      </w:pPr>
      <w:bookmarkStart w:name="u55a106a8" w:id="29"/>
      <w:r>
        <w:rPr>
          <w:rFonts w:eastAsia="宋体" w:ascii="宋体"/>
        </w:rPr>
        <w:drawing>
          <wp:inline distT="0" distB="0" distL="0" distR="0">
            <wp:extent cx="5842000" cy="206215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19734" cy="7913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lnFzX" w:id="30"/>
    <w:p>
      <w:pPr>
        <w:pStyle w:val="Heading4"/>
        <w:spacing w:after="50" w:line="360" w:lineRule="auto" w:beforeLines="100"/>
        <w:ind w:left="0"/>
        <w:jc w:val="left"/>
      </w:pPr>
      <w:bookmarkStart w:name="ud4d34e1e" w:id="31"/>
      <w:r>
        <w:rPr>
          <w:rFonts w:eastAsia="宋体" w:ascii="宋体"/>
        </w:rPr>
        <w:drawing>
          <wp:inline distT="0" distB="0" distL="0" distR="0">
            <wp:extent cx="5841999" cy="134943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71466" cy="20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ucb7ec6a2" w:id="32"/>
    <w:p>
      <w:pPr>
        <w:numPr>
          <w:ilvl w:val="0"/>
          <w:numId w:val="20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成本优化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：减少30-50%人工投入，通过LoRaWAN通信网络（覆盖半径&gt;10km）降低基础设施成本。 </w:t>
      </w:r>
    </w:p>
    <w:bookmarkEnd w:id="32"/>
    <w:bookmarkStart w:name="u864ce83d" w:id="33"/>
    <w:p>
      <w:pPr>
        <w:numPr>
          <w:ilvl w:val="0"/>
          <w:numId w:val="21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收益提升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：清洁效率提升带来发电量增加5%-15%，同时故障率下降70%以上，显著提高电站IRR。 </w:t>
      </w:r>
    </w:p>
    <w:bookmarkEnd w:id="33"/>
    <w:bookmarkStart w:name="u9f2afc1e" w:id="34"/>
    <w:p>
      <w:pPr>
        <w:numPr>
          <w:ilvl w:val="0"/>
          <w:numId w:val="22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安全保障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：机器人替代高风险人工作业，年均降低60%的运维事故率，提升企业ESG评级。</w:t>
      </w:r>
    </w:p>
    <w:bookmarkEnd w:id="34"/>
    <w:bookmarkStart w:name="u4df33502" w:id="35"/>
    <w:p>
      <w:pPr>
        <w:spacing w:after="50" w:line="360" w:lineRule="auto" w:beforeLines="100"/>
        <w:ind w:left="0"/>
        <w:jc w:val="left"/>
      </w:pPr>
      <w:bookmarkStart w:name="u18b7db09" w:id="36"/>
      <w:r>
        <w:rPr>
          <w:rFonts w:eastAsia="宋体" w:ascii="宋体"/>
        </w:rPr>
        <w:drawing>
          <wp:inline distT="0" distB="0" distL="0" distR="0">
            <wp:extent cx="5842000" cy="216143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0" cy="59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yfRyL" w:id="37"/>
    <w:p>
      <w:pPr>
        <w:pStyle w:val="Heading4"/>
        <w:spacing w:after="50" w:line="360" w:lineRule="auto" w:beforeLines="100"/>
        <w:ind w:left="0"/>
        <w:jc w:val="left"/>
      </w:pPr>
      <w:bookmarkStart w:name="uee8f570d" w:id="38"/>
      <w:r>
        <w:rPr>
          <w:rFonts w:eastAsia="宋体" w:ascii="宋体"/>
        </w:rPr>
        <w:drawing>
          <wp:inline distT="0" distB="0" distL="0" distR="0">
            <wp:extent cx="5841999" cy="137870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19066" cy="203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8"/>
    </w:p>
    <w:bookmarkEnd w:id="37"/>
    <w:bookmarkStart w:name="u1b34719d" w:id="39"/>
    <w:p>
      <w:pPr>
        <w:numPr>
          <w:ilvl w:val="0"/>
          <w:numId w:val="23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端到端全栈能力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：机器人、AI模型、监控平台全部自研，数据链路完整（采集-分析-决策闭环）。 </w:t>
      </w:r>
    </w:p>
    <w:bookmarkEnd w:id="39"/>
    <w:bookmarkStart w:name="ub727fd39" w:id="40"/>
    <w:p>
      <w:pPr>
        <w:numPr>
          <w:ilvl w:val="0"/>
          <w:numId w:val="24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专利护城河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：已在组件清洁、姿态控制、通信协议等关键领域获得12项发明专利，形成差异化护城河。 </w:t>
      </w:r>
    </w:p>
    <w:bookmarkEnd w:id="40"/>
    <w:bookmarkStart w:name="u48bf48cd" w:id="41"/>
    <w:p>
      <w:pPr>
        <w:numPr>
          <w:ilvl w:val="0"/>
          <w:numId w:val="25"/>
        </w:numPr>
        <w:spacing w:after="50" w:line="360" w:lineRule="auto" w:beforeLines="100"/>
        <w:ind w:left="360"/>
        <w:jc w:val="both"/>
      </w:pPr>
      <w:r>
        <w:rPr>
          <w:rFonts w:ascii="宋体" w:hAnsi="Times New Roman" w:eastAsia="宋体"/>
          <w:b/>
          <w:i w:val="false"/>
          <w:color w:val="000000"/>
          <w:sz w:val="22"/>
        </w:rPr>
        <w:t>生态协同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：与国能集团等头部客户深度合作，形成“技术-服务-数据”的价值共生网络。</w:t>
      </w:r>
    </w:p>
    <w:bookmarkEnd w:id="41"/>
    <w:bookmarkStart w:name="ufc2b3fe6" w:id="42"/>
    <w:p>
      <w:pPr>
        <w:spacing w:after="50" w:line="360" w:lineRule="auto" w:beforeLines="100"/>
        <w:ind w:left="0"/>
        <w:jc w:val="both"/>
      </w:pPr>
      <w:bookmarkStart w:name="u78fa440b" w:id="43"/>
      <w:r>
        <w:rPr>
          <w:rFonts w:eastAsia="宋体" w:ascii="宋体"/>
        </w:rPr>
        <w:drawing>
          <wp:inline distT="0" distB="0" distL="0" distR="0">
            <wp:extent cx="5842000" cy="36803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85866" cy="14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3"/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的智慧运维方案，不仅解决当前行业痛点，更以全栈技术能力和场景化部署，重塑光伏电站的运维范式。通过“AI+机器人”的深度整合，我们致力于帮助企业实现从被动运维到主动运营的全面升级。欢迎访问</w:t>
      </w:r>
      <w:hyperlink r:id="rId13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www.thingcom.com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，了解轨物科技如何用创新技术引领行业变革。 </w:t>
      </w:r>
    </w:p>
    <w:bookmarkEnd w:id="42"/>
    <w:bookmarkStart w:name="u5333bd3c" w:id="44"/>
    <w:p>
      <w:pPr>
        <w:spacing w:after="50" w:line="360" w:lineRule="auto" w:beforeLines="100"/>
        <w:ind w:left="0"/>
        <w:jc w:val="both"/>
      </w:pPr>
      <w:bookmarkStart w:name="u295dc73e" w:id="45"/>
      <w:r>
        <w:rPr>
          <w:rFonts w:eastAsia="宋体" w:ascii="宋体"/>
        </w:rPr>
        <w:drawing>
          <wp:inline distT="0" distB="0" distL="0" distR="0">
            <wp:extent cx="5842000" cy="32072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0" cy="1712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d3dc47a1" w:id="46"/>
    <w:p>
      <w:pPr>
        <w:spacing w:after="50" w:line="360" w:lineRule="auto" w:beforeLines="100"/>
        <w:ind w:left="0"/>
        <w:jc w:val="both"/>
      </w:pPr>
      <w:bookmarkStart w:name="ucec3f4f1" w:id="47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7"/>
    </w:p>
    <w:bookmarkEnd w:id="46"/>
    <w:bookmarkStart w:name="u881b6718" w:id="48"/>
    <w:bookmarkEnd w:id="4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2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3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4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5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6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7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8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9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2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3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4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5">
    <w:multiLevelType w:val="multilevel"/>
    <w:lvl w:ilvl="0">
      <w:start w:val="3"/>
      <w:numFmt w:val="decimal"/>
      <w:lvlText w:val="%1."/>
      <w:lvlJc w:val="left"/>
      <w:pPr>
        <w:ind w:left="960" w:hanging="360"/>
      </w:pPr>
    </w:lvl>
  </w:abstractNum>
  <w:abstractNum w:abstractNumId="16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7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18">
    <w:multiLevelType w:val="multilevel"/>
    <w:lvl w:ilvl="0">
      <w:start w:val="4"/>
      <w:numFmt w:val="decimal"/>
      <w:lvlText w:val="%1."/>
      <w:lvlJc w:val="left"/>
      <w:pPr>
        <w:ind w:left="960" w:hanging="360"/>
      </w:pPr>
    </w:lvl>
  </w:abstractNum>
  <w:abstractNum w:abstractNumId="19">
    <w:multiLevelType w:val="multilevel"/>
    <w:lvl w:ilvl="1">
      <w:start w:val="1"/>
      <w:numFmt w:val="lowerLetter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http://www.thingcom.com" TargetMode="External" Type="http://schemas.openxmlformats.org/officeDocument/2006/relationships/hyperlink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