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【轨物洞见】光伏运维的“无人区”突围战，数据智能是唯一航标</w:t>
      </w:r>
    </w:p>
    <w:p>
      <w:pPr>
        <w:spacing w:after="50" w:line="360" w:lineRule="auto" w:beforeLines="100"/>
        <w:ind w:left="0"/>
        <w:jc w:val="both"/>
      </w:pPr>
      <w:bookmarkStart w:name="u46c7625c" w:id="0"/>
      <w:bookmarkStart w:name="uee1f41c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b6661724" w:id="2"/>
    <w:p>
      <w:pPr>
        <w:spacing w:after="50" w:line="360" w:lineRule="auto" w:beforeLines="100"/>
        <w:ind w:left="0"/>
        <w:jc w:val="both"/>
      </w:pPr>
      <w:bookmarkStart w:name="u4c097e22" w:id="3"/>
      <w:r>
        <w:rPr>
          <w:rFonts w:eastAsia="宋体" w:ascii="宋体"/>
        </w:rPr>
        <w:drawing>
          <wp:inline distT="0" distB="0" distL="0" distR="0">
            <wp:extent cx="5842000" cy="258215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53067" cy="616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6e106989" w:id="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光伏的钢铁森林在广袤的沙戈荒地带拔地而起，一个时代性命题也随之浮现：谁来守护这片关乎未来的能源海洋？在极端环境与GW级规模的双重挤压下，传统运维模式正迅速触及天花板。作为这场变革的见证者与建设者，轨物科技（</w:t>
      </w:r>
      <w:hyperlink r:id="rId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www.thingcom.com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>）认为，光伏运维已进入一场必须打赢的“无人区”突围战，而驱动这场变革的唯一航标，正是数据智能。</w:t>
      </w:r>
    </w:p>
    <w:bookmarkEnd w:id="4"/>
    <w:bookmarkStart w:name="u79b76a52" w:id="5"/>
    <w:p>
      <w:pPr>
        <w:spacing w:after="50" w:line="360" w:lineRule="auto" w:beforeLines="100"/>
        <w:ind w:left="0"/>
        <w:jc w:val="both"/>
      </w:pPr>
      <w:bookmarkStart w:name="uf124f25d" w:id="6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OwcgP" w:id="7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</w:rPr>
        <w:t>一、 困境的三重奏：环境、效率与效益的运维“不可能三角”</w:t>
      </w:r>
    </w:p>
    <w:bookmarkEnd w:id="7"/>
    <w:bookmarkStart w:name="u4757cf72" w:id="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近年来，随着光伏产业迈入集中化、规模化新阶段，运维工作正面临一个严峻的“不可能三角”困境，每一角都尖锐地刺向电站的全生命周期价值。</w:t>
      </w:r>
    </w:p>
    <w:bookmarkEnd w:id="8"/>
    <w:bookmarkStart w:name="u1d493492" w:id="9"/>
    <w:p>
      <w:pPr>
        <w:numPr>
          <w:ilvl w:val="0"/>
          <w:numId w:val="1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极端环境的“硬约束”：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沙戈荒的高温、风沙与丘陵的复杂地形，不仅时刻考验着设备的可靠性，更让传统人工作业的风险与成本激增，这考验着运维的</w:t>
      </w:r>
      <w:r>
        <w:rPr>
          <w:rFonts w:ascii="宋体" w:hAnsi="Times New Roman" w:eastAsia="宋体"/>
          <w:b/>
          <w:i w:val="false"/>
          <w:color w:val="000000"/>
          <w:sz w:val="22"/>
        </w:rPr>
        <w:t>生存极限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9"/>
    <w:bookmarkStart w:name="u2706316e" w:id="10"/>
    <w:p>
      <w:pPr>
        <w:numPr>
          <w:ilvl w:val="0"/>
          <w:numId w:val="2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规模效应的“效率墙”：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一个GW级电站，动辄覆盖数万亩，拥有数百万块组件。依赖人力进行巡检、清洗，无异于“大海捞针”。传统模式的效率瓶颈，正桎梏着产业的</w:t>
      </w:r>
      <w:r>
        <w:rPr>
          <w:rFonts w:ascii="宋体" w:hAnsi="Times New Roman" w:eastAsia="宋体"/>
          <w:b/>
          <w:i w:val="false"/>
          <w:color w:val="000000"/>
          <w:sz w:val="22"/>
        </w:rPr>
        <w:t>发展雄心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0"/>
    <w:bookmarkStart w:name="ua99bcb56" w:id="11"/>
    <w:p>
      <w:pPr>
        <w:numPr>
          <w:ilvl w:val="0"/>
          <w:numId w:val="3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全生命周期的“效益账”：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灰尘遮挡、杂草阴影、热斑效应……每一个微小的运维疏漏，其损失都会在25年的运营周期内被时间“复利”放大。如何精打细算，捍卫每一度电的价值，是贯穿始终的</w:t>
      </w:r>
      <w:r>
        <w:rPr>
          <w:rFonts w:ascii="宋体" w:hAnsi="Times New Roman" w:eastAsia="宋体"/>
          <w:b/>
          <w:i w:val="false"/>
          <w:color w:val="000000"/>
          <w:sz w:val="22"/>
        </w:rPr>
        <w:t>经济核心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1"/>
    <w:bookmarkStart w:name="u7c3bb01f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这三者互为掣肘，形成了一个难以平衡的僵局。破局，必须彻底颠覆运维的生产关系与生产工具。</w:t>
      </w:r>
    </w:p>
    <w:bookmarkEnd w:id="12"/>
    <w:bookmarkStart w:name="u8ad00194" w:id="13"/>
    <w:p>
      <w:pPr>
        <w:spacing w:after="50" w:line="360" w:lineRule="auto" w:beforeLines="100"/>
        <w:ind w:left="0"/>
        <w:jc w:val="left"/>
      </w:pPr>
      <w:bookmarkStart w:name="u3dc325f2" w:id="14"/>
      <w:r>
        <w:rPr>
          <w:rFonts w:eastAsia="宋体" w:ascii="宋体"/>
        </w:rPr>
        <w:drawing>
          <wp:inline distT="0" distB="0" distL="0" distR="0">
            <wp:extent cx="5842000" cy="206215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19734" cy="791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911aa3c4" w:id="15"/>
    <w:p>
      <w:pPr>
        <w:spacing w:after="50" w:line="360" w:lineRule="auto" w:beforeLines="100"/>
        <w:ind w:left="0"/>
        <w:jc w:val="both"/>
      </w:pPr>
      <w:bookmarkStart w:name="ua6155cc6" w:id="16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mf0bw" w:id="17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</w:rPr>
        <w:t>二、 范式革命：从“人海战术”到“机器人军团 + 智慧云脑”</w:t>
      </w:r>
    </w:p>
    <w:bookmarkEnd w:id="17"/>
    <w:bookmarkStart w:name="u00620769" w:id="1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变革不是将来时，而是进行时。轨物科技（</w:t>
      </w:r>
      <w:hyperlink r:id="rId10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www.thingcom.com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>）基于十余年的行业观察，洞见到一场由“机器人军团 + 智慧云脑”主导的范式革命已然到来，其核心是三个层次的深刻转变：</w:t>
      </w:r>
    </w:p>
    <w:bookmarkEnd w:id="18"/>
    <w:bookmarkStart w:name="u04f61473" w:id="19"/>
    <w:p>
      <w:pPr>
        <w:numPr>
          <w:ilvl w:val="0"/>
          <w:numId w:val="4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1"/>
        </w:rPr>
        <w:t>执行层：走向“任务协同”的无人化作业。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 xml:space="preserve"> 未来，运维的核心不再是单一功能的机器人，而是由</w:t>
      </w:r>
      <w:r>
        <w:rPr>
          <w:rFonts w:ascii="宋体" w:hAnsi="Times New Roman" w:eastAsia="宋体"/>
          <w:b/>
          <w:i w:val="false"/>
          <w:color w:val="000000"/>
          <w:sz w:val="21"/>
        </w:rPr>
        <w:t>智能光伏清洗机器人与AI巡检机器人等核心装备，组成一个数据互通、任务联动的作业集群。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 xml:space="preserve"> 它们不再是孤立的工具，而是能够根据“云脑”指令，实现“巡检发现问题、清洗解决问题”闭环的精准执行单元。</w:t>
      </w:r>
    </w:p>
    <w:bookmarkEnd w:id="19"/>
    <w:bookmarkStart w:name="uad77807d" w:id="20"/>
    <w:p>
      <w:pPr>
        <w:spacing w:after="50" w:line="360" w:lineRule="auto" w:beforeLines="100"/>
        <w:ind w:left="0"/>
        <w:jc w:val="left"/>
      </w:pPr>
      <w:bookmarkStart w:name="u4e69e6e1" w:id="21"/>
      <w:r>
        <w:rPr>
          <w:rFonts w:eastAsia="宋体" w:ascii="宋体"/>
        </w:rPr>
        <w:drawing>
          <wp:inline distT="0" distB="0" distL="0" distR="0">
            <wp:extent cx="5842000" cy="30352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29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b437eb78" w:id="22"/>
    <w:p>
      <w:pPr>
        <w:numPr>
          <w:ilvl w:val="0"/>
          <w:numId w:val="5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管理层：走向“数字孪生”的平台化远程指挥。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所有运维设备都将不再是信息孤岛。一个强大的云端“智慧大脑”，通过数字孪生技术，将物理电站1:1映射到虚拟空间，实现对全貌、状态、进度的实时掌控与远程指挥。这是运筹帷幄的“中枢神经”。</w:t>
      </w:r>
    </w:p>
    <w:bookmarkEnd w:id="22"/>
    <w:bookmarkStart w:name="ua3511ce7" w:id="23"/>
    <w:p>
      <w:pPr>
        <w:numPr>
          <w:ilvl w:val="0"/>
          <w:numId w:val="6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决策层：走向“自主进化”的数据化智能驱动。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这是智能化运维的终极形态，也是</w:t>
      </w:r>
      <w:r>
        <w:rPr>
          <w:rFonts w:ascii="宋体" w:hAnsi="Times New Roman" w:eastAsia="宋体"/>
          <w:b/>
          <w:i w:val="false"/>
          <w:color w:val="000000"/>
          <w:sz w:val="22"/>
        </w:rPr>
        <w:t>轨物科技“产学研用”闭环理念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的价值核心。平台不再是“监工”，而是“超级军师”。它融合设备制造、实时气象、现场巡检与发电量数据，通过深度学习实现自主进化：</w:t>
      </w:r>
    </w:p>
    <w:bookmarkEnd w:id="23"/>
    <w:bookmarkStart w:name="u6d456b14" w:id="24"/>
    <w:p>
      <w:pPr>
        <w:numPr>
          <w:ilvl w:val="1"/>
          <w:numId w:val="7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预测性运维：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基于灰尘累积与发电损失模型，智能决策</w:t>
      </w:r>
      <w:r>
        <w:rPr>
          <w:rFonts w:ascii="宋体" w:hAnsi="Times New Roman" w:eastAsia="宋体"/>
          <w:b/>
          <w:i w:val="false"/>
          <w:color w:val="000000"/>
          <w:sz w:val="22"/>
        </w:rPr>
        <w:t>何时、何地、以何种方式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进行清洗，实现ROI最大化。</w:t>
      </w:r>
    </w:p>
    <w:bookmarkEnd w:id="24"/>
    <w:bookmarkStart w:name="u7756d1d1" w:id="25"/>
    <w:p>
      <w:pPr>
        <w:numPr>
          <w:ilvl w:val="1"/>
          <w:numId w:val="8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自主路径寻优：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让机器人军团自主规划最高效、最低耗的作业路径，智能避障，协同工作。</w:t>
      </w:r>
    </w:p>
    <w:bookmarkEnd w:id="25"/>
    <w:bookmarkStart w:name="u0f444b54" w:id="26"/>
    <w:p>
      <w:pPr>
        <w:numPr>
          <w:ilvl w:val="1"/>
          <w:numId w:val="9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根因故障诊断：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关联分析组件衰减、热斑与运维数据，提前预警并诊断潜在的设备故障，防患于未然。</w:t>
      </w:r>
    </w:p>
    <w:bookmarkEnd w:id="26"/>
    <w:bookmarkStart w:name="u9434e64e" w:id="27"/>
    <w:p>
      <w:pPr>
        <w:spacing w:after="50" w:line="360" w:lineRule="auto" w:beforeLines="100"/>
        <w:ind w:left="0"/>
        <w:jc w:val="left"/>
      </w:pPr>
      <w:bookmarkStart w:name="u2523c006" w:id="28"/>
      <w:r>
        <w:rPr>
          <w:rFonts w:eastAsia="宋体" w:ascii="宋体"/>
        </w:rPr>
        <w:drawing>
          <wp:inline distT="0" distB="0" distL="0" distR="0">
            <wp:extent cx="5842000" cy="206215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419734" cy="791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u4b79dc1c" w:id="29"/>
    <w:p>
      <w:pPr>
        <w:spacing w:after="50" w:line="360" w:lineRule="auto" w:beforeLines="100"/>
        <w:ind w:left="0"/>
        <w:jc w:val="left"/>
      </w:pPr>
      <w:bookmarkStart w:name="u5171d95b" w:id="30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mtVZ4" w:id="31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</w:rPr>
        <w:t>三、 轨物科技的思考：智能化不是目的，而是通往成功的路径</w:t>
      </w:r>
    </w:p>
    <w:bookmarkEnd w:id="31"/>
    <w:bookmarkStart w:name="u23d48127" w:id="3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自2010年投身物联网与人工智能浪潮以来，轨物科技始终在思考一个根本问题：如何让前沿技术真正服务于产业，创造扎实的商业价值？</w:t>
      </w:r>
    </w:p>
    <w:bookmarkEnd w:id="32"/>
    <w:bookmarkStart w:name="u260a589c" w:id="3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我们认为，光伏智能运维的本质，并非为了“无人”而“无人”，也非冰冷技术的堆砌，而是为了构建一个能够“</w:t>
      </w:r>
      <w:r>
        <w:rPr>
          <w:rFonts w:ascii="宋体" w:hAnsi="Times New Roman" w:eastAsia="宋体"/>
          <w:b/>
          <w:i w:val="false"/>
          <w:color w:val="000000"/>
          <w:sz w:val="22"/>
        </w:rPr>
        <w:t>自主学习、持续进化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”的智慧运维体系。在这个体系中，每一次作业的数据都会沉淀为宝贵资产，反哺优化下一次的决策，形成一个螺旋式上升的价值闭环。</w:t>
      </w:r>
    </w:p>
    <w:bookmarkEnd w:id="33"/>
    <w:bookmarkStart w:name="u1b1f1f3c" w:id="3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我们坚信，通过</w:t>
      </w:r>
      <w:r>
        <w:rPr>
          <w:rFonts w:ascii="宋体" w:hAnsi="Times New Roman" w:eastAsia="宋体"/>
          <w:b/>
          <w:i w:val="false"/>
          <w:color w:val="000000"/>
          <w:sz w:val="22"/>
        </w:rPr>
        <w:t>长期陪伴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客户，将复杂的智能技术转化为</w:t>
      </w:r>
      <w:r>
        <w:rPr>
          <w:rFonts w:ascii="宋体" w:hAnsi="Times New Roman" w:eastAsia="宋体"/>
          <w:b/>
          <w:i w:val="false"/>
          <w:color w:val="000000"/>
          <w:sz w:val="22"/>
        </w:rPr>
        <w:t>更简单、更高效、更成功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的运维实践，才能帮助光伏企业在这场波澜壮阔的能源革命中，赢得属于自己的未来，让每一缕阳光都最大化地转化为绿色电力，成功照亮碳中和之路。</w:t>
      </w:r>
    </w:p>
    <w:bookmarkEnd w:id="34"/>
    <w:bookmarkStart w:name="u747041c9" w:id="35"/>
    <w:p>
      <w:pPr>
        <w:spacing w:after="50" w:line="360" w:lineRule="auto" w:beforeLines="100"/>
        <w:ind w:left="0"/>
        <w:jc w:val="both"/>
      </w:pPr>
      <w:bookmarkStart w:name="u1e107f96" w:id="36"/>
      <w:r>
        <w:rPr>
          <w:rFonts w:eastAsia="宋体" w:ascii="宋体"/>
        </w:rPr>
        <w:drawing>
          <wp:inline distT="0" distB="0" distL="0" distR="0">
            <wp:extent cx="5842000" cy="286249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883467" cy="77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b73903a6" w:id="37"/>
    <w:p>
      <w:pPr>
        <w:spacing w:after="50" w:line="360" w:lineRule="auto" w:beforeLines="100"/>
        <w:ind w:left="0"/>
        <w:jc w:val="both"/>
      </w:pPr>
      <w:bookmarkStart w:name="u21c03450" w:id="38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820e9d05" w:id="39"/>
    <w:p>
      <w:pPr>
        <w:spacing w:after="50" w:line="360" w:lineRule="auto" w:beforeLines="100"/>
        <w:ind w:left="0"/>
        <w:jc w:val="both"/>
      </w:pPr>
      <w:bookmarkStart w:name="u7f8213ab" w:id="40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5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6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7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8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9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ttp://www.thingcom.com" TargetMode="External" Type="http://schemas.openxmlformats.org/officeDocument/2006/relationships/hyperlink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http://www.thingcom.com" TargetMode="External" Type="http://schemas.openxmlformats.org/officeDocument/2006/relationships/hyperlink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