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【轨物方案】开启光伏运维新纪元——柔性支架在线监测与远程解决方案</w:t>
      </w:r>
    </w:p>
    <w:p>
      <w:pPr>
        <w:spacing w:after="50" w:line="360" w:lineRule="auto" w:beforeLines="100"/>
        <w:ind w:left="0"/>
        <w:jc w:val="left"/>
      </w:pPr>
      <w:bookmarkStart w:name="ud4b33ef7" w:id="0"/>
      <w:bookmarkStart w:name="u289c05b0" w:id="1"/>
      <w:r>
        <w:rPr>
          <w:rFonts w:eastAsia="宋体" w:ascii="宋体"/>
        </w:rPr>
        <w:drawing>
          <wp:inline distT="0" distB="0" distL="0" distR="0">
            <wp:extent cx="5842000" cy="37970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43733" cy="73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33a0762d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随着“</w:t>
      </w:r>
      <w:r>
        <w:rPr>
          <w:rFonts w:ascii="宋体" w:hAnsi="Times New Roman" w:eastAsia="宋体"/>
          <w:b/>
          <w:i w:val="false"/>
          <w:color w:val="5c8d07"/>
          <w:sz w:val="22"/>
        </w:rPr>
        <w:t>双碳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”目标的推进，光伏电站正以前所未有的规模发展，其中柔性支架因其地形适应性强、成本优势等特点被广泛应用。然而，其结构复杂、跨度大，易受极端天气影响，传统运维模式面临巨大挑战。</w:t>
      </w:r>
    </w:p>
    <w:bookmarkEnd w:id="2"/>
    <w:bookmarkStart w:name="uc31d4ed8" w:id="3"/>
    <w:p>
      <w:pPr>
        <w:spacing w:after="50" w:line="360" w:lineRule="auto" w:beforeLines="100"/>
        <w:ind w:left="0"/>
        <w:jc w:val="left"/>
      </w:pPr>
      <w:bookmarkStart w:name="u2b8f89f7" w:id="4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cc387468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柔性支架光伏电站，以其独特的索缆结构，解决了复杂地形的安装难题，但也带来了新的运维挑战：</w:t>
      </w:r>
    </w:p>
    <w:bookmarkEnd w:id="5"/>
    <w:bookmarkStart w:name="ud57021e7" w:id="6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安全风险高：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柔性支架对风、雪、冰冻等载荷极为敏感，结构位移、索力变化难以实时掌握，易引发结构失稳甚至垮塌等重大安全事故。</w:t>
      </w:r>
    </w:p>
    <w:bookmarkEnd w:id="6"/>
    <w:bookmarkStart w:name="ud83ff999" w:id="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运维成本高：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传统人工巡检模式效率低下、成本高昂，尤其在占地广阔、环境恶劣的电站，难以实现全面、及时的排查。据统计，GW级电站的人工巡检成本不菲。</w:t>
      </w:r>
    </w:p>
    <w:bookmarkEnd w:id="7"/>
    <w:bookmarkStart w:name="u9cf37326" w:id="8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发电效益损失：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支架姿态的微小变化、结构变形等问题，会直接影响光伏组件的受光角度，导致发电效率下降，而这些问题往往难以被及时发现和纠正。</w:t>
      </w:r>
    </w:p>
    <w:bookmarkEnd w:id="8"/>
    <w:bookmarkStart w:name="u6c9a0a06" w:id="9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缺乏数据支撑：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决策者缺乏对支架系统全生命周期的实时、连续数据，难以进行科学的风险评估、状态预测和精细化管理。</w:t>
      </w:r>
    </w:p>
    <w:bookmarkEnd w:id="9"/>
    <w:bookmarkStart w:name="Qh7vL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
    此处为语雀视频卡片，点击链接查看：</w:t>
      </w:r>
      <w:hyperlink r:id="rId6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>轨物科技柔性支架技术调试现场.mp4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
   </w:t>
      </w:r>
    </w:p>
    <w:bookmarkEnd w:id="10"/>
    <w:bookmarkStart w:name="u5ae06b04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面对这些痛点，光伏行业迫切需要一种智能化的解决方案，变被动响应为主动预防，实现对柔性支架资产的</w:t>
      </w:r>
      <w:r>
        <w:rPr>
          <w:rFonts w:ascii="宋体" w:hAnsi="Times New Roman" w:eastAsia="宋体"/>
          <w:b/>
          <w:i w:val="false"/>
          <w:color w:val="5c8d07"/>
          <w:sz w:val="22"/>
        </w:rPr>
        <w:t>精细化、智慧化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管理。</w:t>
      </w:r>
    </w:p>
    <w:bookmarkEnd w:id="11"/>
    <w:bookmarkStart w:name="u29e3eb41" w:id="12"/>
    <w:p>
      <w:pPr>
        <w:spacing w:after="50" w:line="360" w:lineRule="auto" w:beforeLines="100"/>
        <w:ind w:left="0"/>
        <w:jc w:val="left"/>
      </w:pPr>
      <w:bookmarkStart w:name="ufbf039a1" w:id="13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bookmarkEnd w:id="12"/>
    <w:bookmarkStart w:name="uef10bf27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轨物科技（www.thingcom.com）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自2010年成立以来，始终专注于</w:t>
      </w:r>
      <w:r>
        <w:rPr>
          <w:rFonts w:ascii="宋体" w:hAnsi="Times New Roman" w:eastAsia="宋体"/>
          <w:b/>
          <w:i w:val="false"/>
          <w:color w:val="5c8d07"/>
          <w:sz w:val="22"/>
        </w:rPr>
        <w:t>物联网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与</w:t>
      </w:r>
      <w:r>
        <w:rPr>
          <w:rFonts w:ascii="宋体" w:hAnsi="Times New Roman" w:eastAsia="宋体"/>
          <w:b/>
          <w:i w:val="false"/>
          <w:color w:val="5c8d07"/>
          <w:sz w:val="22"/>
        </w:rPr>
        <w:t>人工智能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技术的创新与应用。我们深耕新能源领域，打造的“</w:t>
      </w:r>
      <w:r>
        <w:rPr>
          <w:rFonts w:ascii="宋体" w:hAnsi="Times New Roman" w:eastAsia="宋体"/>
          <w:b/>
          <w:i w:val="false"/>
          <w:color w:val="5c8d07"/>
          <w:sz w:val="22"/>
        </w:rPr>
        <w:t>光伏电站柔性支架在线监测与远程运维解决方案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”，旨在通过软硬件结合的智慧体系，为光伏电站运营商、业主及支架制造商提供全方位的技术赋能。</w:t>
      </w:r>
    </w:p>
    <w:bookmarkEnd w:id="14"/>
    <w:bookmarkStart w:name="u61ff2344" w:id="15"/>
    <w:p>
      <w:pPr>
        <w:spacing w:after="50" w:line="360" w:lineRule="auto" w:beforeLines="100"/>
        <w:ind w:left="0"/>
        <w:jc w:val="center"/>
      </w:pPr>
      <w:bookmarkStart w:name="NfBDZ" w:id="16"/>
      <w:r>
        <w:rPr>
          <w:rFonts w:eastAsia="宋体" w:ascii="宋体"/>
        </w:rPr>
        <w:drawing>
          <wp:inline distT="0" distB="0" distL="0" distR="0">
            <wp:extent cx="4673600" cy="269499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269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5"/>
    <w:bookmarkStart w:name="ua533b293" w:id="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1. 智能硬件体系：全天候、高精度的“感知神经”</w:t>
      </w:r>
    </w:p>
    <w:bookmarkEnd w:id="17"/>
    <w:bookmarkStart w:name="u523c3455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我们部署一系列高精度智能传感器，如同为庞大的柔性支架安装了“感知神经”，实时采集关键数据：</w:t>
      </w:r>
    </w:p>
    <w:bookmarkEnd w:id="18"/>
    <w:bookmarkStart w:name="u322fd0fd" w:id="19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智能倾角计 &amp; 压差式静力水准仪：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实时监测支架立柱的沉降、位移与倾斜角度，精准捕捉毫米级的结构形变。</w:t>
      </w:r>
    </w:p>
    <w:bookmarkEnd w:id="19"/>
    <w:bookmarkStart w:name="u6328dc75" w:id="20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锚索测力计：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持续监测关键受力构件——锚索的张拉力，为结构安全性提供核心数据。</w:t>
      </w:r>
    </w:p>
    <w:bookmarkEnd w:id="20"/>
    <w:bookmarkStart w:name="uc496acec" w:id="21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风速风向仪等环境传感器：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全面感知风速、风向、温度、湿度、光照等环境因素，为分析结构响应提供环境依据。</w:t>
      </w:r>
    </w:p>
    <w:bookmarkEnd w:id="21"/>
    <w:bookmarkStart w:name="uc05139ef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2. 智能软件平台：智慧决策的“超级大脑”</w:t>
      </w:r>
    </w:p>
    <w:bookmarkEnd w:id="22"/>
    <w:bookmarkStart w:name="u670c6f43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所有数据汇集至我们的云平台，通过强大的后台算法和可视化界面，实现从数据到决策的闭环管理：</w:t>
      </w:r>
    </w:p>
    <w:bookmarkEnd w:id="23"/>
    <w:bookmarkStart w:name="u5cefeef4" w:id="24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全面监测与关联分析：</w:t>
      </w:r>
    </w:p>
    <w:bookmarkEnd w:id="24"/>
    <w:bookmarkStart w:name="u72624973" w:id="25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结构健康监测：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将支架位移、倾角、应力与环境数据、电力输出数据相关联，全面评估结构健康状态。</w:t>
      </w:r>
    </w:p>
    <w:bookmarkEnd w:id="25"/>
    <w:bookmarkStart w:name="ub4a078f3" w:id="26"/>
    <w:p>
      <w:pPr>
        <w:numPr>
          <w:ilvl w:val="0"/>
          <w:numId w:val="1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智能分析与预警：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内置AI多源异常分析模型，能够基于历史数据进行趋势预测，并在数据超限时通过</w:t>
      </w:r>
      <w:r>
        <w:rPr>
          <w:rFonts w:ascii="宋体" w:hAnsi="Times New Roman" w:eastAsia="宋体"/>
          <w:b/>
          <w:i w:val="false"/>
          <w:color w:val="5c8d07"/>
          <w:sz w:val="22"/>
        </w:rPr>
        <w:t>监测驾驶舱、小程序/APP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等多终端实时推送报警信息，实现秒级响应。</w:t>
      </w:r>
    </w:p>
    <w:bookmarkEnd w:id="26"/>
    <w:bookmarkStart w:name="u9b3f2b2b" w:id="27"/>
    <w:p>
      <w:pPr>
        <w:numPr>
          <w:ilvl w:val="0"/>
          <w:numId w:val="1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云端管理与远程运维：</w:t>
      </w:r>
    </w:p>
    <w:bookmarkEnd w:id="27"/>
    <w:bookmarkStart w:name="ue131011b" w:id="28"/>
    <w:p>
      <w:pPr>
        <w:numPr>
          <w:ilvl w:val="0"/>
          <w:numId w:val="1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三维数字孪生：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打造集中可视化界面，以三维模型动态展示支架的实时状态，让管理者一目了然。</w:t>
      </w:r>
    </w:p>
    <w:bookmarkEnd w:id="28"/>
    <w:bookmarkStart w:name="u6f87b771" w:id="29"/>
    <w:p>
      <w:pPr>
        <w:numPr>
          <w:ilvl w:val="0"/>
          <w:numId w:val="1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远程指令与自动归档：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支持远程下发配置指令和应急控制命令，运维数据自动生成报表并永久留存，便于追溯与分析。</w:t>
      </w:r>
    </w:p>
    <w:bookmarkEnd w:id="29"/>
    <w:bookmarkStart w:name="ub9e45c8b" w:id="30"/>
    <w:p>
      <w:pPr>
        <w:spacing w:after="50" w:line="360" w:lineRule="auto" w:beforeLines="100"/>
        <w:ind w:left="0"/>
        <w:jc w:val="left"/>
      </w:pPr>
      <w:bookmarkStart w:name="u7e170e90" w:id="31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1"/>
    </w:p>
    <w:bookmarkEnd w:id="30"/>
    <w:bookmarkStart w:name="u10aafdaa" w:id="32"/>
    <w:p>
      <w:pPr>
        <w:spacing w:after="50" w:line="360" w:lineRule="auto" w:beforeLines="100"/>
        <w:ind w:left="0"/>
        <w:jc w:val="left"/>
      </w:pPr>
      <w:bookmarkStart w:name="BT6lS" w:id="33"/>
      <w:r>
        <w:rPr>
          <w:rFonts w:eastAsia="宋体" w:ascii="宋体"/>
        </w:rPr>
        <w:drawing>
          <wp:inline distT="0" distB="0" distL="0" distR="0">
            <wp:extent cx="5842000" cy="214982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64134" cy="344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3"/>
    </w:p>
    <w:bookmarkEnd w:id="32"/>
    <w:bookmarkStart w:name="u5d14a57e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我们的目标客户是</w:t>
      </w:r>
      <w:r>
        <w:rPr>
          <w:rFonts w:ascii="宋体" w:hAnsi="Times New Roman" w:eastAsia="宋体"/>
          <w:b/>
          <w:i w:val="false"/>
          <w:color w:val="5c8d07"/>
          <w:sz w:val="22"/>
        </w:rPr>
        <w:t>光伏电站运营商/业主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和</w:t>
      </w:r>
      <w:r>
        <w:rPr>
          <w:rFonts w:ascii="宋体" w:hAnsi="Times New Roman" w:eastAsia="宋体"/>
          <w:b/>
          <w:i w:val="false"/>
          <w:color w:val="5c8d07"/>
          <w:sz w:val="22"/>
        </w:rPr>
        <w:t>支架制造商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。通过部署本方案，您将获得显而易见的价值回报：</w:t>
      </w:r>
    </w:p>
    <w:bookmarkEnd w:id="34"/>
    <w:bookmarkStart w:name="u7264a60e" w:id="35"/>
    <w:p>
      <w:pPr>
        <w:numPr>
          <w:ilvl w:val="0"/>
          <w:numId w:val="1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5c8d07"/>
          <w:sz w:val="22"/>
        </w:rPr>
        <w:t>✅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5c8d07"/>
          <w:sz w:val="22"/>
        </w:rPr>
        <w:t>安全可控：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通过实时监测结构形变，精准预警安全风险，</w:t>
      </w:r>
      <w:r>
        <w:rPr>
          <w:rFonts w:ascii="宋体" w:hAnsi="Times New Roman" w:eastAsia="宋体"/>
          <w:b/>
          <w:i w:val="false"/>
          <w:color w:val="5c8d07"/>
          <w:sz w:val="22"/>
        </w:rPr>
        <w:t>重大安全事故发生率预计降低80%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，守护电站资产安全。</w:t>
      </w:r>
    </w:p>
    <w:bookmarkEnd w:id="35"/>
    <w:bookmarkStart w:name="u225a1fad" w:id="36"/>
    <w:p>
      <w:pPr>
        <w:numPr>
          <w:ilvl w:val="0"/>
          <w:numId w:val="1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💰</w:t>
      </w:r>
      <w:r>
        <w:rPr>
          <w:rFonts w:ascii="宋体" w:hAnsi="Times New Roman" w:eastAsia="宋体"/>
          <w:b/>
          <w:i w:val="false"/>
          <w:color w:val="5c8d07"/>
          <w:sz w:val="22"/>
        </w:rPr>
        <w:t xml:space="preserve"> 降本增效</w:t>
      </w:r>
      <w:r>
        <w:rPr>
          <w:rFonts w:ascii="宋体" w:hAnsi="Times New Roman" w:eastAsia="宋体"/>
          <w:b/>
          <w:i w:val="false"/>
          <w:color w:val="000000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5c8d07"/>
          <w:sz w:val="22"/>
        </w:rPr>
        <w:t>减少高达70%的人工巡检需求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，实现远程智能运维，每年</w:t>
      </w:r>
      <w:r>
        <w:rPr>
          <w:rFonts w:ascii="宋体" w:hAnsi="Times New Roman" w:eastAsia="宋体"/>
          <w:b/>
          <w:i w:val="false"/>
          <w:color w:val="000000"/>
          <w:sz w:val="22"/>
        </w:rPr>
        <w:t>可</w:t>
      </w:r>
      <w:r>
        <w:rPr>
          <w:rFonts w:ascii="宋体" w:hAnsi="Times New Roman" w:eastAsia="宋体"/>
          <w:b/>
          <w:i w:val="false"/>
          <w:color w:val="5c8d07"/>
          <w:sz w:val="22"/>
        </w:rPr>
        <w:t>为每GW电站节省约200万元的运维成本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。</w:t>
      </w:r>
    </w:p>
    <w:bookmarkEnd w:id="36"/>
    <w:bookmarkStart w:name="u4db765eb" w:id="37"/>
    <w:p>
      <w:pPr>
        <w:numPr>
          <w:ilvl w:val="0"/>
          <w:numId w:val="1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📈</w:t>
      </w:r>
      <w:r>
        <w:rPr>
          <w:rFonts w:ascii="宋体" w:hAnsi="Times New Roman" w:eastAsia="宋体"/>
          <w:b/>
          <w:i w:val="false"/>
          <w:color w:val="5c8d07"/>
          <w:sz w:val="22"/>
        </w:rPr>
        <w:t xml:space="preserve"> 发电增益：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通过数据分析与动态优化支架姿态，确保最佳受光角度，</w:t>
      </w:r>
      <w:r>
        <w:rPr>
          <w:rFonts w:ascii="宋体" w:hAnsi="Times New Roman" w:eastAsia="宋体"/>
          <w:b/>
          <w:i w:val="false"/>
          <w:color w:val="5c8d07"/>
          <w:sz w:val="22"/>
        </w:rPr>
        <w:t>发电效率可提升3%-5%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，直接增加电站收益。</w:t>
      </w:r>
    </w:p>
    <w:bookmarkEnd w:id="37"/>
    <w:bookmarkStart w:name="u260dc572" w:id="38"/>
    <w:p>
      <w:pPr>
        <w:numPr>
          <w:ilvl w:val="0"/>
          <w:numId w:val="1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🛡️</w:t>
      </w:r>
      <w:r>
        <w:rPr>
          <w:rFonts w:ascii="宋体" w:hAnsi="Times New Roman" w:eastAsia="宋体"/>
          <w:b/>
          <w:i w:val="false"/>
          <w:color w:val="5c8d07"/>
          <w:sz w:val="22"/>
        </w:rPr>
        <w:t xml:space="preserve"> 长效保障：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精细化管理和主动式维护，</w:t>
      </w:r>
      <w:r>
        <w:rPr>
          <w:rFonts w:ascii="宋体" w:hAnsi="Times New Roman" w:eastAsia="宋体"/>
          <w:b/>
          <w:i w:val="false"/>
          <w:color w:val="5c8d07"/>
          <w:sz w:val="22"/>
        </w:rPr>
        <w:t>可有效延长支架使用寿命8-10年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，全生命周期内的</w:t>
      </w:r>
      <w:r>
        <w:rPr>
          <w:rFonts w:ascii="宋体" w:hAnsi="Times New Roman" w:eastAsia="宋体"/>
          <w:b/>
          <w:i w:val="false"/>
          <w:color w:val="5c8d07"/>
          <w:sz w:val="22"/>
        </w:rPr>
        <w:t>度电成本显著降低15%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。</w:t>
      </w:r>
    </w:p>
    <w:bookmarkEnd w:id="38"/>
    <w:bookmarkStart w:name="u7a1eebbc" w:id="39"/>
    <w:p>
      <w:pPr>
        <w:spacing w:after="50" w:line="360" w:lineRule="auto" w:beforeLines="100"/>
        <w:ind w:left="0"/>
        <w:jc w:val="left"/>
      </w:pPr>
      <w:bookmarkStart w:name="u44f6160a" w:id="40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</w:p>
    <w:bookmarkEnd w:id="39"/>
    <w:bookmarkStart w:name="u00822dd2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轨物科技有限公司成立于2010年，是一家以物联网与人工智能技术为核心的国家高新技术企业。我们坚持“</w:t>
      </w:r>
      <w:r>
        <w:rPr>
          <w:rFonts w:ascii="宋体" w:hAnsi="Times New Roman" w:eastAsia="宋体"/>
          <w:b/>
          <w:i w:val="false"/>
          <w:color w:val="5c8d07"/>
          <w:sz w:val="22"/>
        </w:rPr>
        <w:t>产学研用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”闭环的创新模式，致力于将前沿技术转化为服务制造业企业数智化转型的强大动力。在新能源、电力及高端装备领域，我们提供智慧运维一站式解决方案，从技术创新到产品升级全程赋能，长期陪伴企业，让</w:t>
      </w:r>
      <w:r>
        <w:rPr>
          <w:rFonts w:ascii="宋体" w:hAnsi="Times New Roman" w:eastAsia="宋体"/>
          <w:b/>
          <w:i w:val="false"/>
          <w:color w:val="5c8d07"/>
          <w:sz w:val="22"/>
        </w:rPr>
        <w:t>智能化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转型之路更简单、更高效、更成功！</w:t>
      </w:r>
    </w:p>
    <w:bookmarkEnd w:id="41"/>
    <w:bookmarkStart w:name="u2a13c7bd" w:id="42"/>
    <w:p>
      <w:pPr>
        <w:spacing w:after="50" w:line="360" w:lineRule="auto" w:beforeLines="100"/>
        <w:ind w:left="0"/>
        <w:jc w:val="left"/>
      </w:pPr>
      <w:bookmarkStart w:name="uf14a7f7e" w:id="43"/>
      <w:r>
        <w:rPr>
          <w:rFonts w:eastAsia="宋体" w:ascii="宋体"/>
        </w:rPr>
        <w:drawing>
          <wp:inline distT="0" distB="0" distL="0" distR="0">
            <wp:extent cx="5842000" cy="28215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97334" cy="400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</w:p>
    <w:bookmarkEnd w:id="42"/>
    <w:bookmarkStart w:name="ue60b7dc8" w:id="44"/>
    <w:p>
      <w:pPr>
        <w:spacing w:after="50" w:line="360" w:lineRule="auto" w:beforeLines="100"/>
        <w:ind w:left="0"/>
        <w:jc w:val="left"/>
      </w:pPr>
      <w:bookmarkStart w:name="u0c3f4739" w:id="45"/>
      <w:r>
        <w:rPr>
          <w:rFonts w:eastAsia="宋体" w:ascii="宋体"/>
        </w:rPr>
        <w:drawing>
          <wp:inline distT="0" distB="0" distL="0" distR="0">
            <wp:extent cx="5842000" cy="32072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191200" cy="1712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5"/>
    </w:p>
    <w:bookmarkEnd w:id="44"/>
    <w:bookmarkStart w:name="u46f2e70e" w:id="46"/>
    <w:p>
      <w:pPr>
        <w:spacing w:after="50" w:line="360" w:lineRule="auto" w:beforeLines="100"/>
        <w:ind w:left="0"/>
        <w:jc w:val="left"/>
      </w:pPr>
      <w:bookmarkStart w:name="u492fb6ce" w:id="47"/>
      <w:r>
        <w:rPr>
          <w:rFonts w:eastAsia="宋体" w:ascii="宋体"/>
        </w:rPr>
        <w:drawing>
          <wp:inline distT="0" distB="0" distL="0" distR="0">
            <wp:extent cx="5842000" cy="49069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243733" cy="944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</w:p>
    <w:bookmarkEnd w:id="46"/>
    <w:bookmarkStart w:name="u86afa2c0" w:id="48"/>
    <w:bookmarkEnd w:id="4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https://thingcom.yuque.com/dmfcly/lf3dyp/1755678923878#Qh7vL" TargetMode="External" Type="http://schemas.openxmlformats.org/officeDocument/2006/relationships/hyperlink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