
<file path=[Content_Types].xml><?xml version="1.0" encoding="utf-8"?>
<Types xmlns="http://schemas.openxmlformats.org/package/2006/content-types">
  <Default ContentType="application/vnd.openxmlformats-package.relationships+xml" Extension="rels"/>
  <Default ContentType="application/vnd.openxmlformats-officedocument.wordprocessingml.document.main+xml" Extension="xml"/>
  <Override ContentType="application/vnd.openxmlformats-officedocument.extended-properties+xml" PartName="/docProps/app.xml"/>
  <Override ContentType="application/vnd.openxmlformats-package.core-properties+xml" PartName="/docProps/core.xml"/>
  <Override ContentType="image/png" PartName="/word/media/document_image_rId4.png"/>
  <Override ContentType="image/png" PartName="/word/media/document_image_rId5.png"/>
  <Override ContentType="image/png" PartName="/word/media/document_image_rId6.png"/>
  <Override ContentType="image/png" PartName="/word/media/document_image_rId7.png"/>
  <Override ContentType="image/png" PartName="/word/media/document_image_rId8.png"/>
  <Override ContentType="image/png" PartName="/word/media/document_image_rId9.png"/>
  <Override ContentType="image/png" PartName="/word/media/document_image_rId10.png"/>
  <Override ContentType="image/png" PartName="/word/media/document_image_rId11.png"/>
  <Override ContentType="image/png" PartName="/word/media/document_image_rId12.png"/>
  <Override ContentType="image/png" PartName="/word/media/document_image_rId13.png"/>
  <Override ContentType="image/png" PartName="/word/media/document_image_rId14.png"/>
  <Override ContentType="image/png" PartName="/word/media/document_image_rId15.png"/>
  <Override ContentType="image/png" PartName="/word/media/document_image_rId16.png"/>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http://schemas.openxmlformats.org/wordprocessingml/2006/main" xmlns:r="http://schemas.openxmlformats.org/officeDocument/2006/relationships" xmlns:w15="http://schemas.microsoft.com/office/word/2012/wordml" xmlns:w14="http://schemas.microsoft.com/office/word/2010/wordml" xmlns:m="http://schemas.openxmlformats.org/officeDocument/2006/math" xmlns:wp="http://schemas.openxmlformats.org/drawingml/2006/wordprocessingDrawing" xmlns:a="http://schemas.openxmlformats.org/drawingml/2006/main" xmlns:wp14="http://schemas.microsoft.com/office/word/2010/wordprocessingDrawing"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body>
    <!-- Created by docx4j 6.1.2 (Apache licensed) using REFERENCE JAXB in Oracle Java 1.8.0_131 on Linux -->
    <w:p>
      <w:pPr>
        <w:pStyle w:val="Heading1"/>
        <w:spacing w:after="50" w:line="360" w:lineRule="auto" w:beforeLines="100"/>
        <w:ind w:left="0"/>
        <w:jc w:val="left"/>
      </w:pPr>
      <w:r>
        <w:rPr>
          <w:rFonts w:ascii="宋体" w:hAnsi="Times New Roman" w:eastAsia="宋体"/>
        </w:rPr>
        <w:t>【轨物方案】创新驱动、精准运维：轨物科技场站光伏组件缺陷现场检测解决方案深度解析</w:t>
      </w:r>
    </w:p>
    <w:p>
      <w:pPr>
        <w:spacing w:after="50" w:line="360" w:lineRule="auto" w:beforeLines="100"/>
        <w:ind w:left="0"/>
        <w:jc w:val="both"/>
      </w:pPr>
      <w:bookmarkStart w:name="u44fff00d" w:id="0"/>
      <w:r>
        <w:rPr>
          <w:rFonts w:ascii="宋体" w:hAnsi="Times New Roman" w:eastAsia="宋体"/>
          <w:b/>
          <w:i w:val="false"/>
          <w:color w:val="000000"/>
          <w:sz w:val="22"/>
        </w:rPr>
        <w:t>摘要：</w:t>
      </w:r>
      <w:r>
        <w:rPr>
          <w:rFonts w:ascii="宋体" w:hAnsi="Times New Roman" w:eastAsia="宋体"/>
          <w:b w:val="false"/>
          <w:i w:val="false"/>
          <w:color w:val="000000"/>
          <w:sz w:val="22"/>
        </w:rPr>
        <w:t xml:space="preserve">轨物科技有限公司（Thingcom， www.thingcom.com），自2010年创立以来，深耕物联网（IoT）与人工智能（AI）核心技术，依托产学研用闭环机制，持续推动制造业数智化转型升级。公司聚焦新能源领域前沿挑战，现隆重推出 </w:t>
      </w:r>
      <w:r>
        <w:rPr>
          <w:rFonts w:ascii="宋体" w:hAnsi="Times New Roman" w:eastAsia="宋体"/>
          <w:b/>
          <w:i w:val="false"/>
          <w:color w:val="000000"/>
          <w:sz w:val="22"/>
        </w:rPr>
        <w:t>“场站光伏组件缺陷智能现场检测解决方案”</w:t>
      </w:r>
      <w:r>
        <w:rPr>
          <w:rFonts w:ascii="宋体" w:hAnsi="Times New Roman" w:eastAsia="宋体"/>
          <w:b w:val="false"/>
          <w:i w:val="false"/>
          <w:color w:val="000000"/>
          <w:sz w:val="22"/>
        </w:rPr>
        <w:t>。该方案融合多项自主研发、填补行业空白的创新技术（获得8项发明专利），经由国央企科研项目深度验证，集成智能化硬件巡检平台与强大AI诊断引擎，实现对光伏组件各类缺陷（包括细微隐裂、热斑、遮挡等）的高精度、高效率现场筛查与根因分析，为电站投资方与运维方提供坚实的数智化运维工具，显著提升资产健康管理水平与发电收益，赋能光伏产业高质量发展。</w:t>
      </w:r>
    </w:p>
    <w:bookmarkEnd w:id="0"/>
    <w:bookmarkStart w:name="uc2153c02" w:id="1"/>
    <w:bookmarkEnd w:id="1"/>
    <w:bookmarkStart w:name="ube3bebc4" w:id="2"/>
    <w:p>
      <w:pPr>
        <w:spacing w:after="50" w:line="360" w:lineRule="auto" w:beforeLines="100"/>
        <w:ind w:left="0"/>
        <w:jc w:val="both"/>
      </w:pPr>
      <w:bookmarkStart w:name="u12ee3ff6" w:id="3"/>
      <w:r>
        <w:rPr>
          <w:rFonts w:eastAsia="宋体" w:ascii="宋体"/>
        </w:rPr>
        <w:drawing>
          <wp:inline distT="0" distB="0" distL="0" distR="0">
            <wp:extent cx="5842000" cy="385546"/>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1243733" cy="742038"/>
                    </a:xfrm>
                    <a:prstGeom prst="rect">
                      <a:avLst/>
                    </a:prstGeom>
                  </pic:spPr>
                </pic:pic>
              </a:graphicData>
            </a:graphic>
          </wp:inline>
        </w:drawing>
      </w:r>
      <w:bookmarkEnd w:id="3"/>
    </w:p>
    <w:bookmarkEnd w:id="2"/>
    <w:bookmarkStart w:name="uba1c5288" w:id="4"/>
    <w:p>
      <w:pPr>
        <w:spacing w:after="50" w:line="360" w:lineRule="auto" w:beforeLines="100"/>
        <w:ind w:left="0"/>
        <w:jc w:val="both"/>
      </w:pPr>
      <w:bookmarkStart w:name="u451e7d1d" w:id="5"/>
      <w:r>
        <w:rPr>
          <w:rFonts w:eastAsia="宋体" w:ascii="宋体"/>
        </w:rPr>
        <w:drawing>
          <wp:inline distT="0" distB="0" distL="0" distR="0">
            <wp:extent cx="5841999" cy="1308538"/>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8771466" cy="1964704"/>
                    </a:xfrm>
                    <a:prstGeom prst="rect">
                      <a:avLst/>
                    </a:prstGeom>
                  </pic:spPr>
                </pic:pic>
              </a:graphicData>
            </a:graphic>
          </wp:inline>
        </w:drawing>
      </w:r>
      <w:bookmarkEnd w:id="5"/>
    </w:p>
    <w:bookmarkEnd w:id="4"/>
    <w:bookmarkStart w:name="u89d7022c" w:id="6"/>
    <w:p>
      <w:pPr>
        <w:spacing w:after="50" w:line="360" w:lineRule="auto" w:beforeLines="100"/>
        <w:ind w:left="0"/>
        <w:jc w:val="both"/>
      </w:pPr>
      <w:r>
        <w:rPr>
          <w:rFonts w:ascii="宋体" w:hAnsi="Times New Roman" w:eastAsia="宋体"/>
          <w:b w:val="false"/>
          <w:i w:val="false"/>
          <w:color w:val="000000"/>
          <w:sz w:val="22"/>
        </w:rPr>
        <w:t>在“双碳”战略驱动下，光伏装机容量持续攀升，确保庞大电站资产长期高效、稳定运行至关重要。光伏组件作为电站核心发电单元，其健康状况直接决定电站收益：</w:t>
      </w:r>
    </w:p>
    <w:bookmarkEnd w:id="6"/>
    <w:bookmarkStart w:name="u7e327cf0" w:id="7"/>
    <w:p>
      <w:pPr>
        <w:numPr>
          <w:ilvl w:val="0"/>
          <w:numId w:val="1"/>
        </w:numPr>
        <w:spacing w:after="50" w:line="360" w:lineRule="auto" w:beforeLines="100"/>
        <w:ind w:left="360"/>
        <w:jc w:val="center"/>
      </w:pPr>
      <w:r>
        <w:rPr>
          <w:rFonts w:ascii="宋体" w:hAnsi="Times New Roman" w:eastAsia="宋体"/>
          <w:b/>
          <w:i w:val="false"/>
          <w:color w:val="000000"/>
          <w:sz w:val="22"/>
        </w:rPr>
        <w:t>微小损伤累积效应:</w:t>
      </w:r>
      <w:r>
        <w:rPr>
          <w:rFonts w:ascii="宋体" w:hAnsi="Times New Roman" w:eastAsia="宋体"/>
          <w:b w:val="false"/>
          <w:i w:val="false"/>
          <w:color w:val="000000"/>
          <w:sz w:val="22"/>
        </w:rPr>
        <w:t xml:space="preserve"> 诸如热斑效应、电池片隐裂、玻璃微裂纹、严重污渍（鸟粪、粉尘）、局部遮挡、PID衰减等问题不易肉眼察觉，但会持续加速组件功率衰减甚至引发火灾等安全隐患。</w:t>
      </w:r>
    </w:p>
    <w:bookmarkEnd w:id="7"/>
    <w:bookmarkStart w:name="u8ae69a97" w:id="8"/>
    <w:p>
      <w:pPr>
        <w:spacing w:after="50" w:line="360" w:lineRule="auto" w:beforeLines="100"/>
        <w:ind w:left="0"/>
        <w:jc w:val="left"/>
      </w:pPr>
      <w:bookmarkStart w:name="u5f80c689" w:id="9"/>
      <w:r>
        <w:rPr>
          <w:rFonts w:eastAsia="宋体" w:ascii="宋体"/>
        </w:rPr>
        <w:drawing>
          <wp:inline distT="0" distB="0" distL="0" distR="0">
            <wp:extent cx="5842000" cy="2558728"/>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2615333" cy="5525370"/>
                    </a:xfrm>
                    <a:prstGeom prst="rect">
                      <a:avLst/>
                    </a:prstGeom>
                  </pic:spPr>
                </pic:pic>
              </a:graphicData>
            </a:graphic>
          </wp:inline>
        </w:drawing>
      </w:r>
      <w:bookmarkEnd w:id="9"/>
    </w:p>
    <w:bookmarkEnd w:id="8"/>
    <w:bookmarkStart w:name="u52be85ef" w:id="10"/>
    <w:p>
      <w:pPr>
        <w:numPr>
          <w:ilvl w:val="0"/>
          <w:numId w:val="2"/>
        </w:numPr>
        <w:spacing w:after="50" w:line="360" w:lineRule="auto" w:beforeLines="100"/>
        <w:ind w:left="360"/>
        <w:jc w:val="both"/>
      </w:pPr>
      <w:r>
        <w:rPr>
          <w:rFonts w:ascii="宋体" w:hAnsi="Times New Roman" w:eastAsia="宋体"/>
          <w:b/>
          <w:i w:val="false"/>
          <w:color w:val="000000"/>
          <w:sz w:val="22"/>
        </w:rPr>
        <w:t>传统手段捉襟见肘：</w:t>
      </w:r>
      <w:r>
        <w:rPr>
          <w:rFonts w:ascii="宋体" w:hAnsi="Times New Roman" w:eastAsia="宋体"/>
          <w:b w:val="false"/>
          <w:i w:val="false"/>
          <w:color w:val="000000"/>
          <w:sz w:val="22"/>
        </w:rPr>
        <w:t xml:space="preserve"> 人工目视巡检覆盖面窄、效率低下、主观性强、高风险；无人机巡检受光照条件限制，无法精准识别隐裂等深层缺陷且图像分析繁琐；传统热成像检测易受环境干扰且难以定位根因。这导致缺陷漏检率高、检修滞后、运维成本攀升，严重侵蚀电站全生命周期投资收益（LCOE）。</w:t>
      </w:r>
    </w:p>
    <w:bookmarkEnd w:id="10"/>
    <w:bookmarkStart w:name="u07068956" w:id="11"/>
    <w:p>
      <w:pPr>
        <w:spacing w:after="50" w:line="360" w:lineRule="auto" w:beforeLines="100"/>
        <w:ind w:left="0"/>
        <w:jc w:val="both"/>
      </w:pPr>
      <w:bookmarkStart w:name="u94259dc4" w:id="12"/>
      <w:r>
        <w:rPr>
          <w:rFonts w:eastAsia="宋体" w:ascii="宋体"/>
        </w:rPr>
        <w:drawing>
          <wp:inline distT="0" distB="0" distL="0" distR="0">
            <wp:extent cx="5841999" cy="1378638"/>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8771466" cy="2069956"/>
                    </a:xfrm>
                    <a:prstGeom prst="rect">
                      <a:avLst/>
                    </a:prstGeom>
                  </pic:spPr>
                </pic:pic>
              </a:graphicData>
            </a:graphic>
          </wp:inline>
        </w:drawing>
      </w:r>
      <w:bookmarkEnd w:id="12"/>
    </w:p>
    <w:bookmarkEnd w:id="11"/>
    <w:bookmarkStart w:name="u572c928f" w:id="13"/>
    <w:p>
      <w:pPr>
        <w:spacing w:after="50" w:line="360" w:lineRule="auto" w:beforeLines="100"/>
        <w:ind w:left="0"/>
        <w:jc w:val="both"/>
      </w:pPr>
      <w:r>
        <w:rPr>
          <w:rFonts w:ascii="宋体" w:hAnsi="Times New Roman" w:eastAsia="宋体"/>
          <w:b w:val="false"/>
          <w:i w:val="false"/>
          <w:color w:val="000000"/>
          <w:sz w:val="22"/>
        </w:rPr>
        <w:t>针对上述痛点，轨物科技综合运用物联网、人工智能、机器人及先进光学检测技术，创新打造</w:t>
      </w:r>
      <w:r>
        <w:rPr>
          <w:rFonts w:ascii="宋体" w:hAnsi="Times New Roman" w:eastAsia="宋体"/>
          <w:b/>
          <w:i w:val="false"/>
          <w:color w:val="000000"/>
          <w:sz w:val="22"/>
        </w:rPr>
        <w:t>一体化智能现场检测解决方案</w:t>
      </w:r>
      <w:r>
        <w:rPr>
          <w:rFonts w:ascii="宋体" w:hAnsi="Times New Roman" w:eastAsia="宋体"/>
          <w:b w:val="false"/>
          <w:i w:val="false"/>
          <w:color w:val="000000"/>
          <w:sz w:val="22"/>
        </w:rPr>
        <w:t>，以行业领先技术与严谨工程实践破解检测瓶颈。</w:t>
      </w:r>
    </w:p>
    <w:bookmarkEnd w:id="13"/>
    <w:bookmarkStart w:name="u3434ddf7" w:id="14"/>
    <w:p>
      <w:pPr>
        <w:spacing w:after="50" w:line="360" w:lineRule="auto" w:beforeLines="100"/>
        <w:ind w:left="0"/>
        <w:jc w:val="both"/>
      </w:pPr>
      <w:bookmarkStart w:name="u7e173442" w:id="15"/>
      <w:r>
        <w:rPr>
          <w:rFonts w:eastAsia="宋体" w:ascii="宋体"/>
        </w:rPr>
        <w:drawing>
          <wp:inline distT="0" distB="0" distL="0" distR="0">
            <wp:extent cx="5841999" cy="327139"/>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0312400" cy="577472"/>
                    </a:xfrm>
                    <a:prstGeom prst="rect">
                      <a:avLst/>
                    </a:prstGeom>
                  </pic:spPr>
                </pic:pic>
              </a:graphicData>
            </a:graphic>
          </wp:inline>
        </w:drawing>
      </w:r>
      <w:bookmarkEnd w:id="15"/>
    </w:p>
    <w:bookmarkEnd w:id="14"/>
    <w:bookmarkStart w:name="u5dacb743" w:id="16"/>
    <w:p>
      <w:pPr>
        <w:spacing w:after="50" w:line="360" w:lineRule="auto" w:beforeLines="100"/>
        <w:ind w:left="0"/>
        <w:jc w:val="both"/>
      </w:pPr>
      <w:r>
        <w:rPr>
          <w:rFonts w:ascii="宋体" w:hAnsi="Times New Roman" w:eastAsia="宋体"/>
          <w:b w:val="false"/>
          <w:i w:val="false"/>
          <w:color w:val="000000"/>
          <w:sz w:val="22"/>
        </w:rPr>
        <w:t>方案构建了“智能终端精准采集 + 边缘/云平台深度学习”的双引擎架构：</w:t>
      </w:r>
    </w:p>
    <w:bookmarkEnd w:id="16"/>
    <w:bookmarkStart w:name="ubf7aa4bf" w:id="17"/>
    <w:p>
      <w:pPr>
        <w:spacing w:after="50" w:line="360" w:lineRule="auto" w:beforeLines="100"/>
        <w:ind w:left="0"/>
        <w:jc w:val="both"/>
      </w:pPr>
      <w:r>
        <w:rPr>
          <w:rFonts w:ascii="宋体" w:hAnsi="Times New Roman" w:eastAsia="宋体"/>
          <w:b/>
          <w:i w:val="false"/>
          <w:color w:val="000000"/>
          <w:sz w:val="22"/>
        </w:rPr>
        <w:t>1. 智能化高精度采集终端：</w:t>
      </w:r>
    </w:p>
    <w:bookmarkEnd w:id="17"/>
    <w:bookmarkStart w:name="u7b81cd6f" w:id="18"/>
    <w:p>
      <w:pPr>
        <w:numPr>
          <w:ilvl w:val="0"/>
          <w:numId w:val="3"/>
        </w:numPr>
        <w:spacing w:after="50" w:line="360" w:lineRule="auto" w:beforeLines="100"/>
        <w:ind w:left="360"/>
        <w:jc w:val="both"/>
      </w:pPr>
      <w:r>
        <w:rPr>
          <w:rFonts w:ascii="宋体" w:hAnsi="Times New Roman" w:eastAsia="宋体"/>
          <w:b/>
          <w:i w:val="false"/>
          <w:color w:val="000000"/>
          <w:sz w:val="22"/>
        </w:rPr>
        <w:t>可见光 &amp; 红外光（IR）双谱协同检测平台：</w:t>
      </w:r>
      <w:r>
        <w:rPr>
          <w:rFonts w:ascii="宋体" w:hAnsi="Times New Roman" w:eastAsia="宋体"/>
          <w:b w:val="false"/>
          <w:i w:val="false"/>
          <w:color w:val="000000"/>
          <w:sz w:val="22"/>
        </w:rPr>
        <w:t xml:space="preserve"> 集成高分辨率摄像头与热成像传感器，同步捕捉组件表面形态异常（如污渍、物理破损）及内部热异常分布（热点定位）。</w:t>
      </w:r>
    </w:p>
    <w:bookmarkEnd w:id="18"/>
    <w:bookmarkStart w:name="u5dbb7831" w:id="19"/>
    <w:p>
      <w:pPr>
        <w:numPr>
          <w:ilvl w:val="0"/>
          <w:numId w:val="4"/>
        </w:numPr>
        <w:spacing w:after="50" w:line="360" w:lineRule="auto" w:beforeLines="100"/>
        <w:ind w:left="360"/>
        <w:jc w:val="both"/>
      </w:pPr>
      <w:r>
        <w:rPr>
          <w:rFonts w:ascii="宋体" w:hAnsi="Times New Roman" w:eastAsia="宋体"/>
          <w:b/>
          <w:i w:val="false"/>
          <w:color w:val="000000"/>
          <w:sz w:val="22"/>
        </w:rPr>
        <w:t>行业首创：现场便携式光致发光（PL）隐裂检测装置：</w:t>
      </w:r>
      <w:r>
        <w:rPr>
          <w:rFonts w:ascii="宋体" w:hAnsi="Times New Roman" w:eastAsia="宋体"/>
          <w:b w:val="false"/>
          <w:i w:val="false"/>
          <w:color w:val="000000"/>
          <w:sz w:val="22"/>
        </w:rPr>
        <w:t xml:space="preserve"> 突破现场环境限制，通过特殊光学成像技术，直接探查电池片内部应力损伤（隐裂）、碎裂、材料缺陷等电性能核心问题，实现行业真正意义的“无损、精确定量”隐裂筛查。</w:t>
      </w:r>
    </w:p>
    <w:bookmarkEnd w:id="19"/>
    <w:bookmarkStart w:name="uc18bb9b4" w:id="20"/>
    <w:p>
      <w:pPr>
        <w:numPr>
          <w:ilvl w:val="0"/>
          <w:numId w:val="5"/>
        </w:numPr>
        <w:spacing w:after="50" w:line="360" w:lineRule="auto" w:beforeLines="100"/>
        <w:ind w:left="360"/>
        <w:jc w:val="both"/>
      </w:pPr>
      <w:r>
        <w:rPr>
          <w:rFonts w:ascii="宋体" w:hAnsi="Times New Roman" w:eastAsia="宋体"/>
          <w:b/>
          <w:i w:val="false"/>
          <w:color w:val="000000"/>
          <w:sz w:val="22"/>
        </w:rPr>
        <w:t>嵌入式IoT数据网关：</w:t>
      </w:r>
      <w:r>
        <w:rPr>
          <w:rFonts w:ascii="宋体" w:hAnsi="Times New Roman" w:eastAsia="宋体"/>
          <w:b w:val="false"/>
          <w:i w:val="false"/>
          <w:color w:val="000000"/>
          <w:sz w:val="22"/>
        </w:rPr>
        <w:t xml:space="preserve"> 无缝对接逆变器、汇流箱、气象站等关键设备，实时采集电压、电流、功率、辐照度、温度等运行参数，构筑多维度健康评估数据池。</w:t>
      </w:r>
    </w:p>
    <w:bookmarkEnd w:id="20"/>
    <w:bookmarkStart w:name="u803a0ff5" w:id="21"/>
    <w:p>
      <w:pPr>
        <w:spacing w:after="50" w:line="360" w:lineRule="auto" w:beforeLines="100"/>
        <w:ind w:left="0"/>
        <w:jc w:val="left"/>
      </w:pPr>
      <w:bookmarkStart w:name="u4f89d403" w:id="22"/>
      <w:r>
        <w:rPr>
          <w:rFonts w:eastAsia="宋体" w:ascii="宋体"/>
        </w:rPr>
        <w:drawing>
          <wp:inline distT="0" distB="0" distL="0" distR="0">
            <wp:extent cx="5842000" cy="2567334"/>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299200" cy="2768256"/>
                    </a:xfrm>
                    <a:prstGeom prst="rect">
                      <a:avLst/>
                    </a:prstGeom>
                  </pic:spPr>
                </pic:pic>
              </a:graphicData>
            </a:graphic>
          </wp:inline>
        </w:drawing>
      </w:r>
      <w:bookmarkEnd w:id="22"/>
    </w:p>
    <w:bookmarkEnd w:id="21"/>
    <w:bookmarkStart w:name="uf3b1eb50" w:id="23"/>
    <w:p>
      <w:pPr>
        <w:spacing w:after="50" w:line="360" w:lineRule="auto" w:beforeLines="100"/>
        <w:ind w:left="0"/>
        <w:jc w:val="both"/>
      </w:pPr>
      <w:r>
        <w:rPr>
          <w:rFonts w:ascii="宋体" w:hAnsi="Times New Roman" w:eastAsia="宋体"/>
          <w:b/>
          <w:i w:val="false"/>
          <w:color w:val="000000"/>
          <w:sz w:val="22"/>
        </w:rPr>
        <w:t>2. 强大的AI诊断与分析平台：</w:t>
      </w:r>
    </w:p>
    <w:bookmarkEnd w:id="23"/>
    <w:bookmarkStart w:name="u8b9d8fd2" w:id="24"/>
    <w:p>
      <w:pPr>
        <w:numPr>
          <w:ilvl w:val="0"/>
          <w:numId w:val="6"/>
        </w:numPr>
        <w:spacing w:after="50" w:line="360" w:lineRule="auto" w:beforeLines="100"/>
        <w:ind w:left="360"/>
        <w:jc w:val="both"/>
      </w:pPr>
      <w:r>
        <w:rPr>
          <w:rFonts w:ascii="宋体" w:hAnsi="Times New Roman" w:eastAsia="宋体"/>
          <w:b/>
          <w:i w:val="false"/>
          <w:color w:val="000000"/>
          <w:sz w:val="22"/>
        </w:rPr>
        <w:t>多模态数据融合与智能识别引擎：</w:t>
      </w:r>
    </w:p>
    <w:bookmarkEnd w:id="24"/>
    <w:bookmarkStart w:name="u5df7f46b" w:id="25"/>
    <w:p>
      <w:pPr>
        <w:numPr>
          <w:ilvl w:val="0"/>
          <w:numId w:val="7"/>
        </w:numPr>
        <w:spacing w:after="50" w:line="360" w:lineRule="auto" w:beforeLines="100"/>
        <w:ind w:left="360"/>
        <w:jc w:val="both"/>
      </w:pPr>
      <w:r>
        <w:rPr>
          <w:rFonts w:ascii="宋体" w:hAnsi="Times New Roman" w:eastAsia="宋体"/>
          <w:b/>
          <w:i w:val="false"/>
          <w:color w:val="000000"/>
          <w:sz w:val="22"/>
        </w:rPr>
        <w:t>先进算法模型集成：</w:t>
      </w:r>
      <w:r>
        <w:rPr>
          <w:rFonts w:ascii="宋体" w:hAnsi="Times New Roman" w:eastAsia="宋体"/>
          <w:b w:val="false"/>
          <w:i w:val="false"/>
          <w:color w:val="000000"/>
          <w:sz w:val="22"/>
        </w:rPr>
        <w:t xml:space="preserve"> 融合计算机视觉（CV）与深度神经网络（DNN），对采集的图像（可见、IR、PL）、时序运行数据进行多模态融合分析。</w:t>
      </w:r>
    </w:p>
    <w:bookmarkEnd w:id="25"/>
    <w:bookmarkStart w:name="u7b8a2120" w:id="26"/>
    <w:p>
      <w:pPr>
        <w:numPr>
          <w:ilvl w:val="0"/>
          <w:numId w:val="8"/>
        </w:numPr>
        <w:spacing w:after="50" w:line="360" w:lineRule="auto" w:beforeLines="100"/>
        <w:ind w:left="360"/>
        <w:jc w:val="both"/>
      </w:pPr>
      <w:r>
        <w:rPr>
          <w:rFonts w:ascii="宋体" w:hAnsi="Times New Roman" w:eastAsia="宋体"/>
          <w:b/>
          <w:i w:val="false"/>
          <w:color w:val="000000"/>
          <w:sz w:val="22"/>
        </w:rPr>
        <w:t>高精度特征提取与分类：</w:t>
      </w:r>
      <w:r>
        <w:rPr>
          <w:rFonts w:ascii="宋体" w:hAnsi="Times New Roman" w:eastAsia="宋体"/>
          <w:b w:val="false"/>
          <w:i w:val="false"/>
          <w:color w:val="000000"/>
          <w:sz w:val="22"/>
        </w:rPr>
        <w:t xml:space="preserve"> 精确识别并分类热斑、隐裂（区分类型与严重等级）、各类遮挡（鸟类、落叶、积雪等）、污垢、破裂、PID等典型缺陷。</w:t>
      </w:r>
    </w:p>
    <w:bookmarkEnd w:id="26"/>
    <w:bookmarkStart w:name="ue4bead05" w:id="27"/>
    <w:p>
      <w:pPr>
        <w:numPr>
          <w:ilvl w:val="0"/>
          <w:numId w:val="9"/>
        </w:numPr>
        <w:spacing w:after="50" w:line="360" w:lineRule="auto" w:beforeLines="100"/>
        <w:ind w:left="360"/>
        <w:jc w:val="both"/>
      </w:pPr>
      <w:r>
        <w:rPr>
          <w:rFonts w:ascii="宋体" w:hAnsi="Times New Roman" w:eastAsia="宋体"/>
          <w:b/>
          <w:i w:val="false"/>
          <w:color w:val="000000"/>
          <w:sz w:val="22"/>
        </w:rPr>
        <w:t>缺陷溯源与相关性分析：</w:t>
      </w:r>
      <w:r>
        <w:rPr>
          <w:rFonts w:ascii="宋体" w:hAnsi="Times New Roman" w:eastAsia="宋体"/>
          <w:b w:val="false"/>
          <w:i w:val="false"/>
          <w:color w:val="000000"/>
          <w:sz w:val="22"/>
        </w:rPr>
        <w:t xml:space="preserve"> AI引擎关联运行工况与环境数据，辅助识别异常的真实诱因（如接线盒接触不良、局部阴影引发热斑或潜在组件不匹配）。</w:t>
      </w:r>
    </w:p>
    <w:bookmarkEnd w:id="27"/>
    <w:bookmarkStart w:name="u10a9e2b9" w:id="28"/>
    <w:p>
      <w:pPr>
        <w:numPr>
          <w:ilvl w:val="0"/>
          <w:numId w:val="10"/>
        </w:numPr>
        <w:spacing w:after="50" w:line="360" w:lineRule="auto" w:beforeLines="100"/>
        <w:ind w:left="360"/>
        <w:jc w:val="both"/>
      </w:pPr>
      <w:r>
        <w:rPr>
          <w:rFonts w:ascii="宋体" w:hAnsi="Times New Roman" w:eastAsia="宋体"/>
          <w:b/>
          <w:i w:val="false"/>
          <w:color w:val="000000"/>
          <w:sz w:val="22"/>
        </w:rPr>
        <w:t>组件级健康评估与可视化：</w:t>
      </w:r>
    </w:p>
    <w:bookmarkEnd w:id="28"/>
    <w:bookmarkStart w:name="u60503e20" w:id="29"/>
    <w:p>
      <w:pPr>
        <w:numPr>
          <w:ilvl w:val="0"/>
          <w:numId w:val="11"/>
        </w:numPr>
        <w:spacing w:after="50" w:line="360" w:lineRule="auto" w:beforeLines="100"/>
        <w:ind w:left="360"/>
        <w:jc w:val="both"/>
      </w:pPr>
      <w:r>
        <w:rPr>
          <w:rFonts w:ascii="宋体" w:hAnsi="Times New Roman" w:eastAsia="宋体"/>
          <w:b/>
          <w:i w:val="false"/>
          <w:color w:val="000000"/>
          <w:sz w:val="22"/>
        </w:rPr>
        <w:t>智能诊断报告生成：</w:t>
      </w:r>
      <w:r>
        <w:rPr>
          <w:rFonts w:ascii="宋体" w:hAnsi="Times New Roman" w:eastAsia="宋体"/>
          <w:b w:val="false"/>
          <w:i w:val="false"/>
          <w:color w:val="000000"/>
          <w:sz w:val="22"/>
        </w:rPr>
        <w:t xml:space="preserve"> 自动化输出结构化、标准化的诊断报告，包含精确地理位置信息（纬度、组件位置）、缺陷类型、严重程度、潜在影响评估及初步处置建议。</w:t>
      </w:r>
    </w:p>
    <w:bookmarkEnd w:id="29"/>
    <w:bookmarkStart w:name="u489691d1" w:id="30"/>
    <w:p>
      <w:pPr>
        <w:numPr>
          <w:ilvl w:val="0"/>
          <w:numId w:val="12"/>
        </w:numPr>
        <w:spacing w:after="50" w:line="360" w:lineRule="auto" w:beforeLines="100"/>
        <w:ind w:left="360"/>
        <w:jc w:val="both"/>
      </w:pPr>
      <w:r>
        <w:rPr>
          <w:rFonts w:ascii="宋体" w:hAnsi="Times New Roman" w:eastAsia="宋体"/>
          <w:b/>
          <w:i w:val="false"/>
          <w:color w:val="000000"/>
          <w:sz w:val="22"/>
        </w:rPr>
        <w:t>电站全景数字健康地图：</w:t>
      </w:r>
      <w:r>
        <w:rPr>
          <w:rFonts w:ascii="宋体" w:hAnsi="Times New Roman" w:eastAsia="宋体"/>
          <w:b w:val="false"/>
          <w:i w:val="false"/>
          <w:color w:val="000000"/>
          <w:sz w:val="22"/>
        </w:rPr>
        <w:t xml:space="preserve"> 直观展示整座电站组件健康状态分布热力图，实现“一图掌握全局”，支持按缺陷类型筛选定位，优化运维资源调度。</w:t>
      </w:r>
    </w:p>
    <w:bookmarkEnd w:id="30"/>
    <w:bookmarkStart w:name="u5d6f077c" w:id="31"/>
    <w:p>
      <w:pPr>
        <w:spacing w:after="50" w:line="360" w:lineRule="auto" w:beforeLines="100"/>
        <w:ind w:left="0"/>
        <w:jc w:val="center"/>
      </w:pPr>
      <w:bookmarkStart w:name="uc312b164" w:id="32"/>
      <w:r>
        <w:rPr>
          <w:rFonts w:eastAsia="宋体" w:ascii="宋体"/>
        </w:rPr>
        <w:drawing>
          <wp:inline distT="0" distB="0" distL="0" distR="0">
            <wp:extent cx="4978400" cy="3618956"/>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4978400" cy="3618956"/>
                    </a:xfrm>
                    <a:prstGeom prst="rect">
                      <a:avLst/>
                    </a:prstGeom>
                  </pic:spPr>
                </pic:pic>
              </a:graphicData>
            </a:graphic>
          </wp:inline>
        </w:drawing>
      </w:r>
      <w:bookmarkEnd w:id="32"/>
    </w:p>
    <w:bookmarkEnd w:id="31"/>
    <w:bookmarkStart w:name="ub5f6fb52" w:id="33"/>
    <w:p>
      <w:pPr>
        <w:spacing w:after="50" w:line="360" w:lineRule="auto" w:beforeLines="100"/>
        <w:ind w:left="0"/>
        <w:jc w:val="both"/>
      </w:pPr>
      <w:bookmarkStart w:name="u99089b9d" w:id="34"/>
      <w:r>
        <w:rPr>
          <w:rFonts w:eastAsia="宋体" w:ascii="宋体"/>
        </w:rPr>
        <w:drawing>
          <wp:inline distT="0" distB="0" distL="0" distR="0">
            <wp:extent cx="5842000" cy="327137"/>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0295466" cy="576520"/>
                    </a:xfrm>
                    <a:prstGeom prst="rect">
                      <a:avLst/>
                    </a:prstGeom>
                  </pic:spPr>
                </pic:pic>
              </a:graphicData>
            </a:graphic>
          </wp:inline>
        </w:drawing>
      </w:r>
      <w:bookmarkEnd w:id="34"/>
    </w:p>
    <w:bookmarkEnd w:id="33"/>
    <w:bookmarkStart w:name="ua868422d" w:id="35"/>
    <w:p>
      <w:pPr>
        <w:spacing w:after="50" w:line="360" w:lineRule="auto" w:beforeLines="100"/>
        <w:ind w:left="0"/>
        <w:jc w:val="both"/>
      </w:pPr>
      <w:r>
        <w:rPr>
          <w:rFonts w:ascii="宋体" w:hAnsi="Times New Roman" w:eastAsia="宋体"/>
          <w:b w:val="false"/>
          <w:i w:val="false"/>
          <w:color w:val="000000"/>
          <w:sz w:val="22"/>
        </w:rPr>
        <w:t>该解决方案的核心价值在于其卓越的性能指标和为客户创造的实质效益：</w:t>
      </w:r>
    </w:p>
    <w:bookmarkEnd w:id="35"/>
    <w:bookmarkStart w:name="ufc1c9ded" w:id="36"/>
    <w:p>
      <w:pPr>
        <w:numPr>
          <w:ilvl w:val="0"/>
          <w:numId w:val="13"/>
        </w:numPr>
        <w:spacing w:after="50" w:line="360" w:lineRule="auto" w:beforeLines="100"/>
        <w:ind w:left="360"/>
        <w:jc w:val="both"/>
      </w:pPr>
      <w:r>
        <w:rPr>
          <w:rFonts w:ascii="宋体" w:hAnsi="Times New Roman" w:eastAsia="宋体"/>
          <w:b/>
          <w:i w:val="false"/>
          <w:color w:val="000000"/>
          <w:sz w:val="22"/>
        </w:rPr>
        <w:t>技术领先性：</w:t>
      </w:r>
      <w:r>
        <w:rPr>
          <w:rFonts w:ascii="宋体" w:hAnsi="Times New Roman" w:eastAsia="宋体"/>
          <w:b w:val="false"/>
          <w:i w:val="false"/>
          <w:color w:val="000000"/>
          <w:sz w:val="22"/>
        </w:rPr>
        <w:t xml:space="preserve"> 全球领先的</w:t>
      </w:r>
      <w:r>
        <w:rPr>
          <w:rFonts w:ascii="宋体" w:hAnsi="Times New Roman" w:eastAsia="宋体"/>
          <w:b/>
          <w:i w:val="false"/>
          <w:color w:val="000000"/>
          <w:sz w:val="22"/>
        </w:rPr>
        <w:t>现场实用化PL隐裂检测技术</w:t>
      </w:r>
      <w:r>
        <w:rPr>
          <w:rFonts w:ascii="宋体" w:hAnsi="Times New Roman" w:eastAsia="宋体"/>
          <w:b w:val="false"/>
          <w:i w:val="false"/>
          <w:color w:val="000000"/>
          <w:sz w:val="22"/>
        </w:rPr>
        <w:t>弥补行业空白；“双光融合”+“多源IoT数据”驱动检测准确性跃升，显著降低误报漏报。</w:t>
      </w:r>
    </w:p>
    <w:bookmarkEnd w:id="36"/>
    <w:bookmarkStart w:name="ub3c1b980" w:id="37"/>
    <w:p>
      <w:pPr>
        <w:numPr>
          <w:ilvl w:val="0"/>
          <w:numId w:val="14"/>
        </w:numPr>
        <w:spacing w:after="50" w:line="360" w:lineRule="auto" w:beforeLines="100"/>
        <w:ind w:left="360"/>
        <w:jc w:val="both"/>
      </w:pPr>
      <w:r>
        <w:rPr>
          <w:rFonts w:ascii="宋体" w:hAnsi="Times New Roman" w:eastAsia="宋体"/>
          <w:b/>
          <w:i w:val="false"/>
          <w:color w:val="000000"/>
          <w:sz w:val="22"/>
        </w:rPr>
        <w:t>智能化效率倍增：</w:t>
      </w:r>
    </w:p>
    <w:bookmarkEnd w:id="37"/>
    <w:bookmarkStart w:name="ubcfacb07" w:id="38"/>
    <w:p>
      <w:pPr>
        <w:numPr>
          <w:ilvl w:val="0"/>
          <w:numId w:val="15"/>
        </w:numPr>
        <w:spacing w:after="50" w:line="360" w:lineRule="auto" w:beforeLines="100"/>
        <w:ind w:left="360"/>
        <w:jc w:val="both"/>
      </w:pPr>
      <w:r>
        <w:rPr>
          <w:rFonts w:ascii="宋体" w:hAnsi="Times New Roman" w:eastAsia="宋体"/>
          <w:b w:val="false"/>
          <w:i w:val="false"/>
          <w:color w:val="000000"/>
          <w:sz w:val="22"/>
        </w:rPr>
        <w:t>自动化巡检显著加速覆盖速度（尤其是机器人化部署模式）；</w:t>
      </w:r>
    </w:p>
    <w:bookmarkEnd w:id="38"/>
    <w:bookmarkStart w:name="uc491ebdf" w:id="39"/>
    <w:p>
      <w:pPr>
        <w:numPr>
          <w:ilvl w:val="0"/>
          <w:numId w:val="16"/>
        </w:numPr>
        <w:spacing w:after="50" w:line="360" w:lineRule="auto" w:beforeLines="100"/>
        <w:ind w:left="360"/>
        <w:jc w:val="both"/>
      </w:pPr>
      <w:r>
        <w:rPr>
          <w:rFonts w:ascii="宋体" w:hAnsi="Times New Roman" w:eastAsia="宋体"/>
          <w:b w:val="false"/>
          <w:i w:val="false"/>
          <w:color w:val="000000"/>
          <w:sz w:val="22"/>
        </w:rPr>
        <w:t>端边云结合的AI实时分析大幅缩短诊断周期，数分钟内解读复杂数据；</w:t>
      </w:r>
    </w:p>
    <w:bookmarkEnd w:id="39"/>
    <w:bookmarkStart w:name="u3e1e4815" w:id="40"/>
    <w:p>
      <w:pPr>
        <w:numPr>
          <w:ilvl w:val="0"/>
          <w:numId w:val="17"/>
        </w:numPr>
        <w:spacing w:after="50" w:line="360" w:lineRule="auto" w:beforeLines="100"/>
        <w:ind w:left="360"/>
        <w:jc w:val="both"/>
      </w:pPr>
      <w:r>
        <w:rPr>
          <w:rFonts w:ascii="宋体" w:hAnsi="Times New Roman" w:eastAsia="宋体"/>
          <w:b w:val="false"/>
          <w:i w:val="false"/>
          <w:color w:val="000000"/>
          <w:sz w:val="22"/>
        </w:rPr>
        <w:t>突破人工及传统方法的局限，大幅提升缺陷检出率，特别是微小隐裂（检出率达97%以上），释巡检人力负担。</w:t>
      </w:r>
    </w:p>
    <w:bookmarkEnd w:id="40"/>
    <w:bookmarkStart w:name="uf56f19b0" w:id="41"/>
    <w:p>
      <w:pPr>
        <w:numPr>
          <w:ilvl w:val="0"/>
          <w:numId w:val="18"/>
        </w:numPr>
        <w:spacing w:after="50" w:line="360" w:lineRule="auto" w:beforeLines="100"/>
        <w:ind w:left="360"/>
        <w:jc w:val="both"/>
      </w:pPr>
      <w:r>
        <w:rPr>
          <w:rFonts w:ascii="宋体" w:hAnsi="Times New Roman" w:eastAsia="宋体"/>
          <w:b/>
          <w:i w:val="false"/>
          <w:color w:val="000000"/>
          <w:sz w:val="22"/>
        </w:rPr>
        <w:t>深度诊断与决策赋能：</w:t>
      </w:r>
      <w:r>
        <w:rPr>
          <w:rFonts w:ascii="宋体" w:hAnsi="Times New Roman" w:eastAsia="宋体"/>
          <w:b w:val="false"/>
          <w:i w:val="false"/>
          <w:color w:val="000000"/>
          <w:sz w:val="22"/>
        </w:rPr>
        <w:t xml:space="preserve"> 洞察缺陷背后成因，而非仅停留现象记录；“健康地图”与数字化报告为确定维修优先级、技改投资决策、发电量损失评估、保险理赔、资产交易估值等提供精准数据支撑。</w:t>
      </w:r>
    </w:p>
    <w:bookmarkEnd w:id="41"/>
    <w:bookmarkStart w:name="u328db609" w:id="42"/>
    <w:p>
      <w:pPr>
        <w:numPr>
          <w:ilvl w:val="0"/>
          <w:numId w:val="19"/>
        </w:numPr>
        <w:spacing w:after="50" w:line="360" w:lineRule="auto" w:beforeLines="100"/>
        <w:ind w:left="360"/>
        <w:jc w:val="both"/>
      </w:pPr>
      <w:r>
        <w:rPr>
          <w:rFonts w:ascii="宋体" w:hAnsi="Times New Roman" w:eastAsia="宋体"/>
          <w:b/>
          <w:i w:val="false"/>
          <w:color w:val="000000"/>
          <w:sz w:val="22"/>
        </w:rPr>
        <w:t>安全性与可持续性：</w:t>
      </w:r>
      <w:r>
        <w:rPr>
          <w:rFonts w:ascii="宋体" w:hAnsi="Times New Roman" w:eastAsia="宋体"/>
          <w:b w:val="false"/>
          <w:i w:val="false"/>
          <w:color w:val="000000"/>
          <w:sz w:val="22"/>
        </w:rPr>
        <w:t xml:space="preserve"> 减少高空、带电环境人工工作量本质性降低运维安全风险；及时干预故障降低火灾隐患；全过程数字化提升运营管理水平。</w:t>
      </w:r>
    </w:p>
    <w:bookmarkEnd w:id="42"/>
    <w:bookmarkStart w:name="u38b85059" w:id="43"/>
    <w:p>
      <w:pPr>
        <w:spacing w:after="50" w:line="360" w:lineRule="auto" w:beforeLines="100"/>
        <w:ind w:left="0"/>
        <w:jc w:val="both"/>
      </w:pPr>
      <w:bookmarkStart w:name="uea007649" w:id="44"/>
      <w:r>
        <w:rPr>
          <w:rFonts w:eastAsia="宋体" w:ascii="宋体"/>
        </w:rPr>
        <w:drawing>
          <wp:inline distT="0" distB="0" distL="0" distR="0">
            <wp:extent cx="5842000" cy="327137"/>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0295466" cy="576520"/>
                    </a:xfrm>
                    <a:prstGeom prst="rect">
                      <a:avLst/>
                    </a:prstGeom>
                  </pic:spPr>
                </pic:pic>
              </a:graphicData>
            </a:graphic>
          </wp:inline>
        </w:drawing>
      </w:r>
      <w:bookmarkEnd w:id="44"/>
    </w:p>
    <w:bookmarkEnd w:id="43"/>
    <w:bookmarkStart w:name="u4b50bb1e" w:id="45"/>
    <w:p>
      <w:pPr>
        <w:spacing w:after="50" w:line="360" w:lineRule="auto" w:beforeLines="100"/>
        <w:ind w:left="0"/>
        <w:jc w:val="both"/>
      </w:pPr>
      <w:r>
        <w:rPr>
          <w:rFonts w:ascii="宋体" w:hAnsi="Times New Roman" w:eastAsia="宋体"/>
          <w:b w:val="false"/>
          <w:i w:val="false"/>
          <w:color w:val="000000"/>
          <w:sz w:val="22"/>
        </w:rPr>
        <w:t>部署轨物科技解决方案，为光伏电站投资及运维方带来清晰可量化的收益：</w:t>
      </w:r>
    </w:p>
    <w:bookmarkEnd w:id="45"/>
    <w:bookmarkStart w:name="u6e7adcb1" w:id="46"/>
    <w:p>
      <w:pPr>
        <w:numPr>
          <w:ilvl w:val="0"/>
          <w:numId w:val="20"/>
        </w:numPr>
        <w:spacing w:after="50" w:line="360" w:lineRule="auto" w:beforeLines="100"/>
        <w:ind w:left="360"/>
        <w:jc w:val="both"/>
      </w:pPr>
      <w:r>
        <w:rPr>
          <w:rFonts w:ascii="宋体" w:hAnsi="Times New Roman" w:eastAsia="宋体"/>
          <w:b/>
          <w:i w:val="false"/>
          <w:color w:val="000000"/>
          <w:sz w:val="22"/>
        </w:rPr>
        <w:t>运维增效提质：</w:t>
      </w:r>
      <w:r>
        <w:rPr>
          <w:rFonts w:ascii="宋体" w:hAnsi="Times New Roman" w:eastAsia="宋体"/>
          <w:b w:val="false"/>
          <w:i w:val="false"/>
          <w:color w:val="000000"/>
          <w:sz w:val="22"/>
        </w:rPr>
        <w:t xml:space="preserve"> 降低巡检周期与人力投入70%以上；提升缺陷精准定位与根因诊断能力，从“被动抢修”转向“主动预警”。</w:t>
      </w:r>
    </w:p>
    <w:bookmarkEnd w:id="46"/>
    <w:bookmarkStart w:name="uca97a05a" w:id="47"/>
    <w:p>
      <w:pPr>
        <w:numPr>
          <w:ilvl w:val="0"/>
          <w:numId w:val="21"/>
        </w:numPr>
        <w:spacing w:after="50" w:line="360" w:lineRule="auto" w:beforeLines="100"/>
        <w:ind w:left="360"/>
        <w:jc w:val="both"/>
      </w:pPr>
      <w:r>
        <w:rPr>
          <w:rFonts w:ascii="宋体" w:hAnsi="Times New Roman" w:eastAsia="宋体"/>
          <w:b/>
          <w:i w:val="false"/>
          <w:color w:val="000000"/>
          <w:sz w:val="22"/>
        </w:rPr>
        <w:t>显著降本控险：</w:t>
      </w:r>
      <w:r>
        <w:rPr>
          <w:rFonts w:ascii="宋体" w:hAnsi="Times New Roman" w:eastAsia="宋体"/>
          <w:b w:val="false"/>
          <w:i w:val="false"/>
          <w:color w:val="000000"/>
          <w:sz w:val="22"/>
        </w:rPr>
        <w:t xml:space="preserve"> 节约综合运维成本（人力、差旅、管理）；最大限度规避安全事故责任与火灾风险带来的巨大损失；减少无效巡检成本和因诊断不清导致的重复劳动代价。</w:t>
      </w:r>
    </w:p>
    <w:bookmarkEnd w:id="47"/>
    <w:bookmarkStart w:name="u30b937d5" w:id="48"/>
    <w:p>
      <w:pPr>
        <w:numPr>
          <w:ilvl w:val="0"/>
          <w:numId w:val="22"/>
        </w:numPr>
        <w:spacing w:after="50" w:line="360" w:lineRule="auto" w:beforeLines="100"/>
        <w:ind w:left="360"/>
        <w:jc w:val="both"/>
      </w:pPr>
      <w:r>
        <w:rPr>
          <w:rFonts w:ascii="宋体" w:hAnsi="Times New Roman" w:eastAsia="宋体"/>
          <w:b/>
          <w:i w:val="false"/>
          <w:color w:val="000000"/>
          <w:sz w:val="22"/>
        </w:rPr>
        <w:t>投资收益保障：</w:t>
      </w:r>
      <w:r>
        <w:rPr>
          <w:rFonts w:ascii="宋体" w:hAnsi="Times New Roman" w:eastAsia="宋体"/>
          <w:b w:val="false"/>
          <w:i w:val="false"/>
          <w:color w:val="000000"/>
          <w:sz w:val="22"/>
        </w:rPr>
        <w:t xml:space="preserve"> 高效筛查并及时处理缺陷根源，最大限度减少发电量损失（保障年发电量可达设计值95%以上）；延长关键设备使用寿命；提升资产质量属性（直接影响交易估值和电价补贴）。</w:t>
      </w:r>
    </w:p>
    <w:bookmarkEnd w:id="48"/>
    <w:bookmarkStart w:name="ub38cee2c" w:id="49"/>
    <w:p>
      <w:pPr>
        <w:numPr>
          <w:ilvl w:val="0"/>
          <w:numId w:val="23"/>
        </w:numPr>
        <w:spacing w:after="50" w:line="360" w:lineRule="auto" w:beforeLines="100"/>
        <w:ind w:left="360"/>
        <w:jc w:val="both"/>
      </w:pPr>
      <w:r>
        <w:rPr>
          <w:rFonts w:ascii="宋体" w:hAnsi="Times New Roman" w:eastAsia="宋体"/>
          <w:b/>
          <w:i w:val="false"/>
          <w:color w:val="000000"/>
          <w:sz w:val="22"/>
        </w:rPr>
        <w:t>数据驱动决策：</w:t>
      </w:r>
      <w:r>
        <w:rPr>
          <w:rFonts w:ascii="宋体" w:hAnsi="Times New Roman" w:eastAsia="宋体"/>
          <w:b w:val="false"/>
          <w:i w:val="false"/>
          <w:color w:val="000000"/>
          <w:sz w:val="22"/>
        </w:rPr>
        <w:t xml:space="preserve"> 组件级精细健康画像为电站技改、交易尽调、保险精算、智能运维体系建设奠定坚实数据基础，驱动全生命周期资产价值最优管理。</w:t>
      </w:r>
    </w:p>
    <w:bookmarkEnd w:id="49"/>
    <w:bookmarkStart w:name="ua7a45aca" w:id="50"/>
    <w:bookmarkEnd w:id="50"/>
    <w:bookmarkStart w:name="u362f8767" w:id="51"/>
    <w:p>
      <w:pPr>
        <w:spacing w:after="50" w:line="360" w:lineRule="auto" w:beforeLines="100"/>
        <w:ind w:left="0"/>
        <w:jc w:val="both"/>
      </w:pPr>
      <w:bookmarkStart w:name="u2816aa1b" w:id="52"/>
      <w:r>
        <w:rPr>
          <w:rFonts w:eastAsia="宋体" w:ascii="宋体"/>
        </w:rPr>
        <w:drawing>
          <wp:inline distT="0" distB="0" distL="0" distR="0">
            <wp:extent cx="5842000" cy="368015"/>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1192933" cy="705096"/>
                    </a:xfrm>
                    <a:prstGeom prst="rect">
                      <a:avLst/>
                    </a:prstGeom>
                  </pic:spPr>
                </pic:pic>
              </a:graphicData>
            </a:graphic>
          </wp:inline>
        </w:drawing>
      </w:r>
      <w:bookmarkEnd w:id="52"/>
      <w:r>
        <w:rPr>
          <w:rFonts w:ascii="宋体" w:hAnsi="Times New Roman" w:eastAsia="宋体"/>
          <w:b w:val="false"/>
          <w:i w:val="false"/>
          <w:color w:val="000000"/>
          <w:sz w:val="22"/>
        </w:rPr>
        <w:t>轨物科技秉持“创新驱动，赋能伙伴”的初心，致力于以硬核AIoT技术助力产业升级。场站光伏组件缺陷智能现场检测解决方案的发布，是轨物深耕新能源数智运维的关键里程碑。我们以</w:t>
      </w:r>
      <w:r>
        <w:rPr>
          <w:rFonts w:ascii="宋体" w:hAnsi="Times New Roman" w:eastAsia="宋体"/>
          <w:b/>
          <w:i w:val="false"/>
          <w:color w:val="000000"/>
          <w:sz w:val="22"/>
        </w:rPr>
        <w:t>多项行业首创的核心技术、严谨的工程验证（国央企项目合作背书）及8项发明专利集群</w:t>
      </w:r>
      <w:r>
        <w:rPr>
          <w:rFonts w:ascii="宋体" w:hAnsi="Times New Roman" w:eastAsia="宋体"/>
          <w:b w:val="false"/>
          <w:i w:val="false"/>
          <w:color w:val="000000"/>
          <w:sz w:val="22"/>
        </w:rPr>
        <w:t>为依托，协同广大伙伴，破解痛点，推动光伏电站运维迈入高精度、自动化、智能化的新纪元，护航绿色能源资产安全、高效、可持续运行，为“双碳”目标实现贡献轨物智慧与实践价值。</w:t>
      </w:r>
    </w:p>
    <w:bookmarkEnd w:id="51"/>
    <w:bookmarkStart w:name="uc15b4f07" w:id="53"/>
    <w:p>
      <w:pPr>
        <w:spacing w:after="50" w:line="360" w:lineRule="auto" w:beforeLines="100"/>
        <w:ind w:left="0"/>
        <w:jc w:val="both"/>
      </w:pPr>
      <w:bookmarkStart w:name="u7d21f6b5" w:id="54"/>
      <w:r>
        <w:rPr>
          <w:rFonts w:eastAsia="宋体" w:ascii="宋体"/>
        </w:rPr>
        <w:drawing>
          <wp:inline distT="0" distB="0" distL="0" distR="0">
            <wp:extent cx="5842000" cy="2856654"/>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15883467" cy="7766787"/>
                    </a:xfrm>
                    <a:prstGeom prst="rect">
                      <a:avLst/>
                    </a:prstGeom>
                  </pic:spPr>
                </pic:pic>
              </a:graphicData>
            </a:graphic>
          </wp:inline>
        </w:drawing>
      </w:r>
      <w:bookmarkEnd w:id="54"/>
    </w:p>
    <w:bookmarkEnd w:id="53"/>
    <w:bookmarkStart w:name="ud926e256" w:id="55"/>
    <w:p>
      <w:pPr>
        <w:spacing w:after="50" w:line="360" w:lineRule="auto" w:beforeLines="100"/>
        <w:ind w:left="0"/>
        <w:jc w:val="both"/>
      </w:pPr>
      <w:bookmarkStart w:name="u0807ecea" w:id="56"/>
      <w:r>
        <w:rPr>
          <w:rFonts w:eastAsia="宋体" w:ascii="宋体"/>
        </w:rPr>
        <w:drawing>
          <wp:inline distT="0" distB="0" distL="0" distR="0">
            <wp:extent cx="5842000" cy="3207237"/>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31191200" cy="17123859"/>
                    </a:xfrm>
                    <a:prstGeom prst="rect">
                      <a:avLst/>
                    </a:prstGeom>
                  </pic:spPr>
                </pic:pic>
              </a:graphicData>
            </a:graphic>
          </wp:inline>
        </w:drawing>
      </w:r>
      <w:bookmarkEnd w:id="56"/>
      <w:bookmarkStart w:name="u418b9d8a" w:id="57"/>
      <w:r>
        <w:rPr>
          <w:rFonts w:eastAsia="宋体" w:ascii="宋体"/>
        </w:rPr>
        <w:drawing>
          <wp:inline distT="0" distB="0" distL="0" distR="0">
            <wp:extent cx="5842000" cy="490696"/>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11243733" cy="944412"/>
                    </a:xfrm>
                    <a:prstGeom prst="rect">
                      <a:avLst/>
                    </a:prstGeom>
                  </pic:spPr>
                </pic:pic>
              </a:graphicData>
            </a:graphic>
          </wp:inline>
        </w:drawing>
      </w:r>
      <w:bookmarkEnd w:id="57"/>
    </w:p>
    <w:bookmarkEnd w:id="55"/>
    <w:bookmarkStart w:name="ueb3436af" w:id="58"/>
    <w:bookmarkEnd w:id="58"/>
    <w:sectPr>
      <w:pgSz w:w="11907" w:h="16839" w:code="9"/>
      <w:pgMar w:top="1440" w:right="1440" w:bottom="1440" w:left="1440"/>
    </w:sectPr>
  </w:body>
</w:document>
</file>

<file path=word/numbering.xml><?xml version="1.0" encoding="utf-8"?>
<w:numbering xmlns:w="http://schemas.openxmlformats.org/wordprocessingml/2006/main" xmlns:r="http://schemas.openxmlformats.org/officeDocument/2006/relationships" xmlns:w15="http://schemas.microsoft.com/office/word/2012/wordml" xmlns:w14="http://schemas.microsoft.com/office/word/2010/wordml" xmlns:m="http://schemas.openxmlformats.org/officeDocument/2006/math" xmlns:wp="http://schemas.openxmlformats.org/drawingml/2006/wordprocessingDrawing" xmlns:a="http://schemas.openxmlformats.org/drawingml/2006/main" xmlns:wp14="http://schemas.microsoft.com/office/word/2010/wordprocessingDrawing"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abstractNum w:abstractNumId="1">
    <w:multiLevelType w:val="multilevel"/>
    <w:lvl w:ilvl="0">
      <w:start w:val="1"/>
      <w:numFmt w:val="bullet"/>
      <w:lvlText w:val=""/>
      <w:lvlJc w:val="left"/>
      <w:pPr>
        <w:ind w:left="960" w:hanging="360"/>
      </w:pPr>
      <w:rPr>
        <w:rFonts w:hint="default" w:ascii="Symbol" w:hAnsi="Symbol"/>
      </w:rPr>
    </w:lvl>
  </w:abstractNum>
  <w:abstractNum w:abstractNumId="2">
    <w:multiLevelType w:val="multilevel"/>
    <w:lvl w:ilvl="0">
      <w:start w:val="1"/>
      <w:numFmt w:val="bullet"/>
      <w:lvlText w:val=""/>
      <w:lvlJc w:val="left"/>
      <w:pPr>
        <w:ind w:left="960" w:hanging="360"/>
      </w:pPr>
      <w:rPr>
        <w:rFonts w:hint="default" w:ascii="Symbol" w:hAnsi="Symbol"/>
      </w:rPr>
    </w:lvl>
  </w:abstractNum>
  <w:abstractNum w:abstractNumId="3">
    <w:multiLevelType w:val="multilevel"/>
    <w:lvl w:ilvl="0">
      <w:start w:val="1"/>
      <w:numFmt w:val="bullet"/>
      <w:lvlText w:val=""/>
      <w:lvlJc w:val="left"/>
      <w:pPr>
        <w:ind w:left="960" w:hanging="360"/>
      </w:pPr>
      <w:rPr>
        <w:rFonts w:hint="default" w:ascii="Symbol" w:hAnsi="Symbol"/>
      </w:rPr>
    </w:lvl>
  </w:abstractNum>
  <w:abstractNum w:abstractNumId="4">
    <w:multiLevelType w:val="multilevel"/>
    <w:lvl w:ilvl="0">
      <w:start w:val="1"/>
      <w:numFmt w:val="bullet"/>
      <w:lvlText w:val=""/>
      <w:lvlJc w:val="left"/>
      <w:pPr>
        <w:ind w:left="960" w:hanging="360"/>
      </w:pPr>
      <w:rPr>
        <w:rFonts w:hint="default" w:ascii="Symbol" w:hAnsi="Symbol"/>
      </w:rPr>
    </w:lvl>
  </w:abstractNum>
  <w:abstractNum w:abstractNumId="5">
    <w:multiLevelType w:val="multilevel"/>
    <w:lvl w:ilvl="0">
      <w:start w:val="1"/>
      <w:numFmt w:val="bullet"/>
      <w:lvlText w:val=""/>
      <w:lvlJc w:val="left"/>
      <w:pPr>
        <w:ind w:left="960" w:hanging="360"/>
      </w:pPr>
      <w:rPr>
        <w:rFonts w:hint="default" w:ascii="Symbol" w:hAnsi="Symbol"/>
      </w:rPr>
    </w:lvl>
  </w:abstractNum>
  <w:abstractNum w:abstractNumId="6">
    <w:multiLevelType w:val="multilevel"/>
    <w:lvl w:ilvl="0">
      <w:start w:val="1"/>
      <w:numFmt w:val="bullet"/>
      <w:lvlText w:val=""/>
      <w:lvlJc w:val="left"/>
      <w:pPr>
        <w:ind w:left="960" w:hanging="360"/>
      </w:pPr>
      <w:rPr>
        <w:rFonts w:hint="default" w:ascii="Symbol" w:hAnsi="Symbol"/>
      </w:rPr>
    </w:lvl>
  </w:abstractNum>
  <w:abstractNum w:abstractNumId="7">
    <w:multiLevelType w:val="multilevel"/>
    <w:lvl w:ilvl="0">
      <w:start w:val="1"/>
      <w:numFmt w:val="bullet"/>
      <w:lvlText w:val=""/>
      <w:lvlJc w:val="left"/>
      <w:pPr>
        <w:ind w:left="960" w:hanging="360"/>
      </w:pPr>
      <w:rPr>
        <w:rFonts w:hint="default" w:ascii="Symbol" w:hAnsi="Symbol"/>
      </w:rPr>
    </w:lvl>
  </w:abstractNum>
  <w:abstractNum w:abstractNumId="8">
    <w:multiLevelType w:val="multilevel"/>
    <w:lvl w:ilvl="0">
      <w:start w:val="1"/>
      <w:numFmt w:val="bullet"/>
      <w:lvlText w:val=""/>
      <w:lvlJc w:val="left"/>
      <w:pPr>
        <w:ind w:left="960" w:hanging="360"/>
      </w:pPr>
      <w:rPr>
        <w:rFonts w:hint="default" w:ascii="Symbol" w:hAnsi="Symbol"/>
      </w:rPr>
    </w:lvl>
  </w:abstractNum>
  <w:abstractNum w:abstractNumId="9">
    <w:multiLevelType w:val="multilevel"/>
    <w:lvl w:ilvl="0">
      <w:start w:val="1"/>
      <w:numFmt w:val="bullet"/>
      <w:lvlText w:val=""/>
      <w:lvlJc w:val="left"/>
      <w:pPr>
        <w:ind w:left="960" w:hanging="360"/>
      </w:pPr>
      <w:rPr>
        <w:rFonts w:hint="default" w:ascii="Symbol" w:hAnsi="Symbol"/>
      </w:rPr>
    </w:lvl>
  </w:abstractNum>
  <w:abstractNum w:abstractNumId="10">
    <w:multiLevelType w:val="multilevel"/>
    <w:lvl w:ilvl="0">
      <w:start w:val="1"/>
      <w:numFmt w:val="bullet"/>
      <w:lvlText w:val=""/>
      <w:lvlJc w:val="left"/>
      <w:pPr>
        <w:ind w:left="960" w:hanging="360"/>
      </w:pPr>
      <w:rPr>
        <w:rFonts w:hint="default" w:ascii="Symbol" w:hAnsi="Symbol"/>
      </w:rPr>
    </w:lvl>
  </w:abstractNum>
  <w:abstractNum w:abstractNumId="11">
    <w:multiLevelType w:val="multilevel"/>
    <w:lvl w:ilvl="0">
      <w:start w:val="1"/>
      <w:numFmt w:val="bullet"/>
      <w:lvlText w:val=""/>
      <w:lvlJc w:val="left"/>
      <w:pPr>
        <w:ind w:left="960" w:hanging="360"/>
      </w:pPr>
      <w:rPr>
        <w:rFonts w:hint="default" w:ascii="Symbol" w:hAnsi="Symbol"/>
      </w:rPr>
    </w:lvl>
  </w:abstractNum>
  <w:abstractNum w:abstractNumId="12">
    <w:multiLevelType w:val="multilevel"/>
    <w:lvl w:ilvl="0">
      <w:start w:val="1"/>
      <w:numFmt w:val="bullet"/>
      <w:lvlText w:val=""/>
      <w:lvlJc w:val="left"/>
      <w:pPr>
        <w:ind w:left="960" w:hanging="360"/>
      </w:pPr>
      <w:rPr>
        <w:rFonts w:hint="default" w:ascii="Symbol" w:hAnsi="Symbol"/>
      </w:rPr>
    </w:lvl>
  </w:abstractNum>
  <w:abstractNum w:abstractNumId="13">
    <w:multiLevelType w:val="multilevel"/>
    <w:lvl w:ilvl="0">
      <w:start w:val="1"/>
      <w:numFmt w:val="bullet"/>
      <w:lvlText w:val=""/>
      <w:lvlJc w:val="left"/>
      <w:pPr>
        <w:ind w:left="960" w:hanging="360"/>
      </w:pPr>
      <w:rPr>
        <w:rFonts w:hint="default" w:ascii="Symbol" w:hAnsi="Symbol"/>
      </w:rPr>
    </w:lvl>
  </w:abstractNum>
  <w:abstractNum w:abstractNumId="14">
    <w:multiLevelType w:val="multilevel"/>
    <w:lvl w:ilvl="0">
      <w:start w:val="1"/>
      <w:numFmt w:val="bullet"/>
      <w:lvlText w:val=""/>
      <w:lvlJc w:val="left"/>
      <w:pPr>
        <w:ind w:left="960" w:hanging="360"/>
      </w:pPr>
      <w:rPr>
        <w:rFonts w:hint="default" w:ascii="Symbol" w:hAnsi="Symbol"/>
      </w:rPr>
    </w:lvl>
  </w:abstractNum>
  <w:abstractNum w:abstractNumId="15">
    <w:multiLevelType w:val="multilevel"/>
    <w:lvl w:ilvl="0">
      <w:start w:val="1"/>
      <w:numFmt w:val="bullet"/>
      <w:lvlText w:val=""/>
      <w:lvlJc w:val="left"/>
      <w:pPr>
        <w:ind w:left="960" w:hanging="360"/>
      </w:pPr>
      <w:rPr>
        <w:rFonts w:hint="default" w:ascii="Symbol" w:hAnsi="Symbol"/>
      </w:rPr>
    </w:lvl>
  </w:abstractNum>
  <w:abstractNum w:abstractNumId="16">
    <w:multiLevelType w:val="multilevel"/>
    <w:lvl w:ilvl="0">
      <w:start w:val="1"/>
      <w:numFmt w:val="bullet"/>
      <w:lvlText w:val=""/>
      <w:lvlJc w:val="left"/>
      <w:pPr>
        <w:ind w:left="960" w:hanging="360"/>
      </w:pPr>
      <w:rPr>
        <w:rFonts w:hint="default" w:ascii="Symbol" w:hAnsi="Symbol"/>
      </w:rPr>
    </w:lvl>
  </w:abstractNum>
  <w:abstractNum w:abstractNumId="17">
    <w:multiLevelType w:val="multilevel"/>
    <w:lvl w:ilvl="0">
      <w:start w:val="1"/>
      <w:numFmt w:val="bullet"/>
      <w:lvlText w:val=""/>
      <w:lvlJc w:val="left"/>
      <w:pPr>
        <w:ind w:left="960" w:hanging="360"/>
      </w:pPr>
      <w:rPr>
        <w:rFonts w:hint="default" w:ascii="Symbol" w:hAnsi="Symbol"/>
      </w:rPr>
    </w:lvl>
  </w:abstractNum>
  <w:abstractNum w:abstractNumId="18">
    <w:multiLevelType w:val="multilevel"/>
    <w:lvl w:ilvl="0">
      <w:start w:val="1"/>
      <w:numFmt w:val="bullet"/>
      <w:lvlText w:val=""/>
      <w:lvlJc w:val="left"/>
      <w:pPr>
        <w:ind w:left="960" w:hanging="360"/>
      </w:pPr>
      <w:rPr>
        <w:rFonts w:hint="default" w:ascii="Symbol" w:hAnsi="Symbol"/>
      </w:rPr>
    </w:lvl>
  </w:abstractNum>
  <w:abstractNum w:abstractNumId="19">
    <w:multiLevelType w:val="multilevel"/>
    <w:lvl w:ilvl="0">
      <w:start w:val="1"/>
      <w:numFmt w:val="bullet"/>
      <w:lvlText w:val=""/>
      <w:lvlJc w:val="left"/>
      <w:pPr>
        <w:ind w:left="960" w:hanging="360"/>
      </w:pPr>
      <w:rPr>
        <w:rFonts w:hint="default" w:ascii="Symbol" w:hAnsi="Symbol"/>
      </w:rPr>
    </w:lvl>
  </w:abstractNum>
  <w:abstractNum w:abstractNumId="20">
    <w:multiLevelType w:val="multilevel"/>
    <w:lvl w:ilvl="0">
      <w:start w:val="1"/>
      <w:numFmt w:val="decimal"/>
      <w:lvlText w:val="%1."/>
      <w:lvlJc w:val="left"/>
      <w:pPr>
        <w:ind w:left="960" w:hanging="360"/>
      </w:pPr>
    </w:lvl>
  </w:abstractNum>
  <w:abstractNum w:abstractNumId="21">
    <w:multiLevelType w:val="multilevel"/>
    <w:lvl w:ilvl="0">
      <w:start w:val="2"/>
      <w:numFmt w:val="decimal"/>
      <w:lvlText w:val="%1."/>
      <w:lvlJc w:val="left"/>
      <w:pPr>
        <w:ind w:left="960" w:hanging="360"/>
      </w:pPr>
    </w:lvl>
  </w:abstractNum>
  <w:abstractNum w:abstractNumId="22">
    <w:multiLevelType w:val="multilevel"/>
    <w:lvl w:ilvl="0">
      <w:start w:val="3"/>
      <w:numFmt w:val="decimal"/>
      <w:lvlText w:val="%1."/>
      <w:lvlJc w:val="left"/>
      <w:pPr>
        <w:ind w:left="960" w:hanging="360"/>
      </w:pPr>
    </w:lvl>
  </w:abstractNum>
  <w:abstractNum w:abstractNumId="23">
    <w:multiLevelType w:val="multilevel"/>
    <w:lvl w:ilvl="0">
      <w:start w:val="4"/>
      <w:numFmt w:val="decimal"/>
      <w:lvlText w:val="%1."/>
      <w:lvlJc w:val="left"/>
      <w:pPr>
        <w:ind w:left="960" w:hanging="36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w="http://schemas.openxmlformats.org/wordprocessingml/2006/main" xmlns:r="http://schemas.openxmlformats.org/officeDocument/2006/relationships" xmlns:w15="http://schemas.microsoft.com/office/word/2012/wordml" xmlns:w14="http://schemas.microsoft.com/office/word/2010/wordml" xmlns:m="http://schemas.openxmlformats.org/officeDocument/2006/math" xmlns:wp="http://schemas.openxmlformats.org/drawingml/2006/wordprocessingDrawing" xmlns:a="http://schemas.openxmlformats.org/drawingml/2006/main" xmlns:wp14="http://schemas.microsoft.com/office/word/2010/wordprocessingDrawing"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
  <w:compat>
    <w:compatSetting w:name="overrideTableStyleFontSizeAndJustification" w:uri="http://schemas.microsoft.com/office/word" w:val="1"/>
  </w:compat>
</w:settings>
</file>

<file path=word/styles.xml><?xml version="1.0" encoding="utf-8"?>
<w:styles xmlns:w="http://schemas.openxmlformats.org/wordprocessingml/2006/main" xmlns:r="http://schemas.openxmlformats.org/officeDocument/2006/relationships" xmlns:w15="http://schemas.microsoft.com/office/word/2012/wordml" xmlns:w14="http://schemas.microsoft.com/office/word/2010/wordml" xmlns:m="http://schemas.openxmlformats.org/officeDocument/2006/math" xmlns:wp="http://schemas.openxmlformats.org/drawingml/2006/wordprocessingDrawing" xmlns:a="http://schemas.openxmlformats.org/drawingml/2006/main" xmlns:wp14="http://schemas.microsoft.com/office/word/2010/wordprocessingDrawing"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qFormat/>
    <w:rsid w:val="004A3277"/>
  </w:style>
  <w:style w:type="paragraph" w:styleId="Heading1">
    <w:name w:val="heading 1"/>
    <w:basedOn w:val="Normal"/>
    <w:next w:val="Normal"/>
    <w:link w:val="Heading1Char"/>
    <w:uiPriority w:val="9"/>
    <w:qFormat/>
    <w:rsid w:val="00841CD9"/>
    <w:pPr>
      <w:keepNext/>
      <w:keepLines/>
      <w:spacing w:before="480"/>
      <w:outlineLvl w:val="0"/>
    </w:pPr>
    <w:rPr>
      <w:rFonts w:ascii="宋体" w:eastAsia="宋体"/>
      <w:b/>
      <w:bCs/>
      <w:color w:val="000000"/>
      <w:sz w:val="42"/>
      <w:szCs w:val="28"/>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宋体" w:eastAsia="宋体"/>
      <w:b/>
      <w:bCs/>
      <w:color w:val="000000"/>
      <w:sz w:val="38"/>
      <w:szCs w:val="26"/>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宋体" w:eastAsia="宋体"/>
      <w:b/>
      <w:bCs/>
      <w:color w:val="000000"/>
      <w:sz w:val="34"/>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宋体" w:eastAsia="宋体"/>
      <w:b/>
      <w:bCs/>
      <w:color w:val="000000"/>
      <w:sz w:val="30"/>
    </w:rPr>
  </w:style>
  <w:style w:type="character" w:styleId="DefaultParagraphFont" w:default="true">
    <w:name w:val="Default Paragraph Font"/>
    <w:uiPriority w:val="1"/>
    <w:semiHidden/>
    <w:unhideWhenUsed/>
  </w:style>
  <w:style w:type="paragraph" w:styleId="Header">
    <w:name w:val="header"/>
    <w:basedOn w:val="Normal"/>
    <w:link w:val="HeaderChar"/>
    <w:uiPriority w:val="99"/>
    <w:unhideWhenUsed/>
    <w:rsid w:val="00841CD9"/>
    <w:pPr>
      <w:tabs>
        <w:tab w:val="center" w:pos="4680"/>
        <w:tab w:val="right" w:pos="9360"/>
      </w:tabs>
    </w:pPr>
  </w:style>
  <w:style w:type="character" w:styleId="HeaderChar" w:customStyle="true">
    <w:name w:val="Header Char"/>
    <w:basedOn w:val="DefaultParagraphFont"/>
    <w:link w:val="Header"/>
    <w:uiPriority w:val="99"/>
    <w:rsid w:val="00841CD9"/>
  </w:style>
  <w:style w:type="character" w:styleId="Heading1Char" w:customStyle="true">
    <w:name w:val="Heading 1 Char"/>
    <w:basedOn w:val="DefaultParagraphFont"/>
    <w:link w:val="Heading1"/>
    <w:uiPriority w:val="9"/>
    <w:rsid w:val="00841CD9"/>
    <w:rPr>
      <w:rFonts w:asciiTheme="majorHAnsi" w:hAnsiTheme="majorHAnsi" w:eastAsiaTheme="majorEastAsia" w:cstheme="majorBidi"/>
      <w:b/>
      <w:bCs/>
      <w:color w:val="365F91" w:themeColor="accent1" w:themeShade="BF"/>
      <w:sz w:val="28"/>
      <w:szCs w:val="28"/>
    </w:rPr>
  </w:style>
  <w:style w:type="character" w:styleId="Heading2Char" w:customStyle="true">
    <w:name w:val="Heading 2 Char"/>
    <w:basedOn w:val="DefaultParagraphFont"/>
    <w:link w:val="Heading2"/>
    <w:uiPriority w:val="9"/>
    <w:rsid w:val="00841CD9"/>
    <w:rPr>
      <w:rFonts w:asciiTheme="majorHAnsi" w:hAnsiTheme="majorHAnsi" w:eastAsiaTheme="majorEastAsia" w:cstheme="majorBidi"/>
      <w:b/>
      <w:bCs/>
      <w:color w:val="4F81BD" w:themeColor="accent1"/>
      <w:sz w:val="26"/>
      <w:szCs w:val="26"/>
    </w:rPr>
  </w:style>
  <w:style w:type="character" w:styleId="Heading3Char" w:customStyle="true">
    <w:name w:val="Heading 3 Char"/>
    <w:basedOn w:val="DefaultParagraphFont"/>
    <w:link w:val="Heading3"/>
    <w:uiPriority w:val="9"/>
    <w:rsid w:val="00841CD9"/>
    <w:rPr>
      <w:rFonts w:asciiTheme="majorHAnsi" w:hAnsiTheme="majorHAnsi" w:eastAsiaTheme="majorEastAsia" w:cstheme="majorBidi"/>
      <w:b/>
      <w:bCs/>
      <w:color w:val="4F81BD" w:themeColor="accent1"/>
    </w:rPr>
  </w:style>
  <w:style w:type="character" w:styleId="Heading4Char" w:customStyle="true">
    <w:name w:val="Heading 4 Char"/>
    <w:basedOn w:val="DefaultParagraphFont"/>
    <w:link w:val="Heading4"/>
    <w:uiPriority w:val="9"/>
    <w:rsid w:val="00841CD9"/>
    <w:rPr>
      <w:rFonts w:asciiTheme="majorHAnsi" w:hAnsiTheme="majorHAnsi" w:eastAsiaTheme="majorEastAsia" w:cstheme="majorBidi"/>
      <w:b/>
      <w:bCs/>
      <w:i/>
      <w:iCs/>
      <w:color w:val="4F81BD" w:themeColor="accent1"/>
    </w:rPr>
  </w:style>
  <w:style w:type="paragraph" w:styleId="NormalIndent">
    <w:name w:val="Normal Indent"/>
    <w:basedOn w:val="Normal"/>
    <w:uiPriority w:val="99"/>
    <w:unhideWhenUsed/>
    <w:rsid w:val="00841CD9"/>
    <w:pPr>
      <w:ind w:left="720"/>
    </w:pPr>
  </w:style>
  <w:style w:type="paragraph" w:styleId="Subtitle">
    <w:name w:val="Subtitle"/>
    <w:basedOn w:val="Normal"/>
    <w:next w:val="Normal"/>
    <w:link w:val="SubtitleChar"/>
    <w:uiPriority w:val="11"/>
    <w:qFormat/>
    <w:rsid w:val="00841CD9"/>
    <w:pPr>
      <w:numPr>
        <w:ilvl w:val="1"/>
      </w:numPr>
      <w:ind w:left="86"/>
    </w:pPr>
    <w:rPr>
      <w:rFonts w:asciiTheme="majorHAnsi" w:hAnsiTheme="majorHAnsi" w:eastAsiaTheme="majorEastAsia" w:cstheme="majorBidi"/>
      <w:i/>
      <w:iCs/>
      <w:color w:val="4F81BD" w:themeColor="accent1"/>
      <w:spacing w:val="15"/>
      <w:sz w:val="24"/>
      <w:szCs w:val="24"/>
    </w:rPr>
  </w:style>
  <w:style w:type="character" w:styleId="SubtitleChar" w:customStyle="true">
    <w:name w:val="Subtitle Char"/>
    <w:basedOn w:val="DefaultParagraphFont"/>
    <w:link w:val="Subtitle"/>
    <w:uiPriority w:val="11"/>
    <w:rsid w:val="00841CD9"/>
    <w:rPr>
      <w:rFonts w:asciiTheme="majorHAnsi" w:hAnsiTheme="majorHAnsi" w:eastAsiaTheme="majorEastAsia" w:cstheme="majorBidi"/>
      <w:i/>
      <w:iCs/>
      <w:color w:val="4F81BD" w:themeColor="accent1"/>
      <w:spacing w:val="15"/>
      <w:sz w:val="24"/>
      <w:szCs w:val="24"/>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heme="majorHAnsi" w:hAnsiTheme="majorHAnsi" w:eastAsiaTheme="majorEastAsia" w:cstheme="majorBidi"/>
      <w:color w:val="17365D" w:themeColor="text2" w:themeShade="BF"/>
      <w:spacing w:val="5"/>
      <w:kern w:val="28"/>
      <w:sz w:val="52"/>
      <w:szCs w:val="52"/>
    </w:rPr>
  </w:style>
  <w:style w:type="character" w:styleId="TitleChar" w:customStyle="true">
    <w:name w:val="Title Char"/>
    <w:basedOn w:val="DefaultParagraphFont"/>
    <w:link w:val="Title"/>
    <w:uiPriority w:val="10"/>
    <w:rsid w:val="00841CD9"/>
    <w:rPr>
      <w:rFonts w:asciiTheme="majorHAnsi" w:hAnsiTheme="majorHAnsi" w:eastAsiaTheme="majorEastAsia" w:cstheme="majorBidi"/>
      <w:color w:val="17365D" w:themeColor="text2" w:themeShade="BF"/>
      <w:spacing w:val="5"/>
      <w:kern w:val="28"/>
      <w:sz w:val="52"/>
      <w:szCs w:val="52"/>
    </w:rPr>
  </w:style>
  <w:style w:type="character" w:styleId="Emphasis">
    <w:name w:val="Emphasis"/>
    <w:basedOn w:val="DefaultParagraphFont"/>
    <w:uiPriority w:val="20"/>
    <w:qFormat/>
    <w:rsid w:val="00D1197D"/>
    <w:rPr>
      <w:i/>
      <w:iCs/>
    </w:rPr>
  </w:style>
  <w:style w:type="character" w:styleId="Hyperlink">
    <w:name w:val="Hyperlink"/>
    <w:basedOn w:val="DefaultParagraphFont"/>
    <w:uiPriority w:val="99"/>
    <w:unhideWhenUsed/>
    <w:rPr>
      <w:color w:val="0000FF" w:themeColor="hyperlink"/>
      <w:u w:val="single"/>
    </w:rPr>
  </w:style>
  <w:style w:type="table" w:styleId="TableGrid">
    <w:name w:val="Table Grid"/>
    <w:basedOn w:val="TableNormal"/>
    <w:uiPriority w:val="59"/>
    <w:pPr>
      <w:spacing w:after="0" w:line="240" w:lineRule="auto"/>
    </w:p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b/>
      <w:bCs/>
      <w:color w:val="4F81BD" w:themeColor="accent1"/>
      <w:sz w:val="18"/>
      <w:szCs w:val="18"/>
    </w:rPr>
  </w:style>
  <w:style w:type="paragraph" w:styleId="Heading5">
    <w:name w:val="heading 5"/>
    <w:basedOn w:val="Normal"/>
    <w:next w:val="Normal"/>
    <w:link w:val="Heading5Char"/>
    <w:uiPriority w:val="9"/>
    <w:unhideWhenUsed/>
    <w:qFormat/>
    <w:rsid w:val="00841CD9"/>
    <w:pPr>
      <w:keepNext/>
      <w:keepLines/>
      <w:spacing w:before="200"/>
      <w:outlineLvl w:val="4"/>
    </w:pPr>
    <w:rPr>
      <w:rFonts w:ascii="宋体" w:eastAsia="宋体"/>
      <w:b/>
      <w:bCs/>
      <w:color w:val="000000"/>
      <w:sz w:val="28"/>
    </w:rPr>
  </w:style>
  <w:style w:type="paragraph" w:styleId="ne-codeblock"/>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10" Target="media/document_image_rId10.png" Type="http://schemas.openxmlformats.org/officeDocument/2006/relationships/image"/><Relationship Id="rId11" Target="media/document_image_rId11.png" Type="http://schemas.openxmlformats.org/officeDocument/2006/relationships/image"/><Relationship Id="rId12" Target="media/document_image_rId12.png" Type="http://schemas.openxmlformats.org/officeDocument/2006/relationships/image"/><Relationship Id="rId13" Target="media/document_image_rId13.png" Type="http://schemas.openxmlformats.org/officeDocument/2006/relationships/image"/><Relationship Id="rId14" Target="media/document_image_rId14.png" Type="http://schemas.openxmlformats.org/officeDocument/2006/relationships/image"/><Relationship Id="rId15" Target="media/document_image_rId15.png" Type="http://schemas.openxmlformats.org/officeDocument/2006/relationships/image"/><Relationship Id="rId16" Target="media/document_image_rId16.png" Type="http://schemas.openxmlformats.org/officeDocument/2006/relationships/image"/><Relationship Id="rId2" Target="settings.xml" Type="http://schemas.openxmlformats.org/officeDocument/2006/relationships/settings"/><Relationship Id="rId3" Target="numbering.xml" Type="http://schemas.openxmlformats.org/officeDocument/2006/relationships/numbering"/><Relationship Id="rId4" Target="media/document_image_rId4.png" Type="http://schemas.openxmlformats.org/officeDocument/2006/relationships/image"/><Relationship Id="rId5" Target="media/document_image_rId5.png" Type="http://schemas.openxmlformats.org/officeDocument/2006/relationships/image"/><Relationship Id="rId6" Target="media/document_image_rId6.png" Type="http://schemas.openxmlformats.org/officeDocument/2006/relationships/image"/><Relationship Id="rId7" Target="media/document_image_rId7.png" Type="http://schemas.openxmlformats.org/officeDocument/2006/relationships/image"/><Relationship Id="rId8" Target="media/document_image_rId8.png" Type="http://schemas.openxmlformats.org/officeDocument/2006/relationships/image"/><Relationship Id="rId9" Target="media/document_image_rId9.png" Type="http://schemas.openxmlformats.org/officeDocument/2006/relationships/image"/></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http://purl.org/dc/elements/1.1/" xmlns:dcterms="http://purl.org/dc/terms/" xmlns:xsi="http://www.w3.org/2001/XMLSchema-instance"/>
</file>