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15.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【轨物交流】潮起钱塘 智汇杭电- 杭州电子科技大学大学科技园开园仪式暨教科人一体化合作项目签约活动圆满举行！</w:t>
      </w:r>
    </w:p>
    <w:p>
      <w:pPr>
        <w:spacing w:after="50" w:line="360" w:lineRule="auto" w:beforeLines="100"/>
        <w:ind w:left="0"/>
        <w:jc w:val="left"/>
      </w:pPr>
      <w:bookmarkStart w:name="u0aa9ed8a" w:id="0"/>
      <w:bookmarkStart w:name="u2e9cdcb9" w:id="1"/>
      <w:r>
        <w:rPr>
          <w:rFonts w:eastAsia="宋体" w:ascii="宋体"/>
        </w:rPr>
        <w:drawing>
          <wp:inline distT="0" distB="0" distL="0" distR="0">
            <wp:extent cx="5842000" cy="37970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243733" cy="730795"/>
                    </a:xfrm>
                    <a:prstGeom prst="rect">
                      <a:avLst/>
                    </a:prstGeom>
                  </pic:spPr>
                </pic:pic>
              </a:graphicData>
            </a:graphic>
          </wp:inline>
        </w:drawing>
      </w:r>
      <w:bookmarkEnd w:id="1"/>
    </w:p>
    <w:bookmarkEnd w:id="0"/>
    <w:bookmarkStart w:name="uc20e41dc" w:id="2"/>
    <w:p>
      <w:pPr>
        <w:spacing w:after="50" w:line="360" w:lineRule="auto" w:beforeLines="100"/>
        <w:ind w:left="0"/>
        <w:jc w:val="left"/>
      </w:pPr>
      <w:r>
        <w:rPr>
          <w:rFonts w:ascii="宋体" w:hAnsi="Times New Roman" w:eastAsia="宋体"/>
          <w:b w:val="false"/>
          <w:i w:val="false"/>
          <w:color w:val="000000"/>
          <w:sz w:val="21"/>
        </w:rPr>
        <w:t>2025年10月30日上午9时，备受瞩目的杭州电子科技大学大学科技园开园仪式暨教科人一体化合作项目签约活动在钱塘区东部创智产业园成功举行。本次活动是深化“</w:t>
      </w:r>
      <w:r>
        <w:rPr>
          <w:rFonts w:ascii="宋体" w:hAnsi="Times New Roman" w:eastAsia="宋体"/>
          <w:b/>
          <w:i w:val="false"/>
          <w:color w:val="07787e"/>
          <w:sz w:val="21"/>
        </w:rPr>
        <w:t>教育链</w:t>
      </w:r>
      <w:r>
        <w:rPr>
          <w:rFonts w:ascii="宋体" w:hAnsi="Times New Roman" w:eastAsia="宋体"/>
          <w:b w:val="false"/>
          <w:i w:val="false"/>
          <w:color w:val="000000"/>
          <w:sz w:val="21"/>
        </w:rPr>
        <w:t>、</w:t>
      </w:r>
      <w:r>
        <w:rPr>
          <w:rFonts w:ascii="宋体" w:hAnsi="Times New Roman" w:eastAsia="宋体"/>
          <w:b/>
          <w:i w:val="false"/>
          <w:color w:val="07787e"/>
          <w:sz w:val="21"/>
        </w:rPr>
        <w:t>人才链</w:t>
      </w:r>
      <w:r>
        <w:rPr>
          <w:rFonts w:ascii="宋体" w:hAnsi="Times New Roman" w:eastAsia="宋体"/>
          <w:b w:val="false"/>
          <w:i w:val="false"/>
          <w:color w:val="000000"/>
          <w:sz w:val="21"/>
        </w:rPr>
        <w:t>、</w:t>
      </w:r>
      <w:r>
        <w:rPr>
          <w:rFonts w:ascii="宋体" w:hAnsi="Times New Roman" w:eastAsia="宋体"/>
          <w:b/>
          <w:i w:val="false"/>
          <w:color w:val="07787e"/>
          <w:sz w:val="21"/>
        </w:rPr>
        <w:t>产业链</w:t>
      </w:r>
      <w:r>
        <w:rPr>
          <w:rFonts w:ascii="宋体" w:hAnsi="Times New Roman" w:eastAsia="宋体"/>
          <w:b w:val="false"/>
          <w:i w:val="false"/>
          <w:color w:val="000000"/>
          <w:sz w:val="21"/>
        </w:rPr>
        <w:t>、</w:t>
      </w:r>
      <w:r>
        <w:rPr>
          <w:rFonts w:ascii="宋体" w:hAnsi="Times New Roman" w:eastAsia="宋体"/>
          <w:b/>
          <w:i w:val="false"/>
          <w:color w:val="07787e"/>
          <w:sz w:val="21"/>
        </w:rPr>
        <w:t>创新链</w:t>
      </w:r>
      <w:r>
        <w:rPr>
          <w:rFonts w:ascii="宋体" w:hAnsi="Times New Roman" w:eastAsia="宋体"/>
          <w:b w:val="false"/>
          <w:i w:val="false"/>
          <w:color w:val="000000"/>
          <w:sz w:val="21"/>
        </w:rPr>
        <w:t>”四链有机融合的战略实践，旨在为区域人才培育、科技创新、产业升级注入新动能。</w:t>
      </w:r>
    </w:p>
    <w:bookmarkEnd w:id="2"/>
    <w:bookmarkStart w:name="ucde80ee3" w:id="3"/>
    <w:p>
      <w:pPr>
        <w:spacing w:after="50" w:line="360" w:lineRule="auto" w:beforeLines="100"/>
        <w:ind w:left="0"/>
        <w:jc w:val="left"/>
      </w:pPr>
      <w:r>
        <w:rPr>
          <w:rFonts w:ascii="宋体" w:hAnsi="Times New Roman" w:eastAsia="宋体"/>
          <w:b w:val="false"/>
          <w:i w:val="false"/>
          <w:color w:val="000000"/>
          <w:sz w:val="21"/>
        </w:rPr>
        <w:t>钱塘区党工委副书记、钱塘区委副书记、区长</w:t>
      </w:r>
      <w:r>
        <w:rPr>
          <w:rFonts w:ascii="宋体" w:hAnsi="Times New Roman" w:eastAsia="宋体"/>
          <w:b/>
          <w:i w:val="false"/>
          <w:color w:val="07787e"/>
          <w:sz w:val="21"/>
          <w:u w:val="single"/>
        </w:rPr>
        <w:t>沈燕俊</w:t>
      </w:r>
      <w:r>
        <w:rPr>
          <w:rFonts w:ascii="宋体" w:hAnsi="Times New Roman" w:eastAsia="宋体"/>
          <w:b w:val="false"/>
          <w:i w:val="false"/>
          <w:color w:val="000000"/>
          <w:sz w:val="21"/>
        </w:rPr>
        <w:t>，杭州电子科技大学校长</w:t>
      </w:r>
      <w:r>
        <w:rPr>
          <w:rFonts w:ascii="宋体" w:hAnsi="Times New Roman" w:eastAsia="宋体"/>
          <w:b/>
          <w:i w:val="false"/>
          <w:color w:val="07787e"/>
          <w:sz w:val="21"/>
          <w:u w:val="single"/>
        </w:rPr>
        <w:t>陈积明</w:t>
      </w:r>
      <w:r>
        <w:rPr>
          <w:rFonts w:ascii="宋体" w:hAnsi="Times New Roman" w:eastAsia="宋体"/>
          <w:b w:val="false"/>
          <w:i w:val="false"/>
          <w:color w:val="000000"/>
          <w:sz w:val="21"/>
        </w:rPr>
        <w:t>，浙江大学科技园党总支书记、董事长，浙江知识产权交易中心董事长</w:t>
      </w:r>
      <w:r>
        <w:rPr>
          <w:rFonts w:ascii="宋体" w:hAnsi="Times New Roman" w:eastAsia="宋体"/>
          <w:b/>
          <w:i w:val="false"/>
          <w:color w:val="07787e"/>
          <w:sz w:val="21"/>
          <w:u w:val="single"/>
        </w:rPr>
        <w:t>褚如辉</w:t>
      </w:r>
      <w:r>
        <w:rPr>
          <w:rFonts w:ascii="宋体" w:hAnsi="Times New Roman" w:eastAsia="宋体"/>
          <w:b w:val="false"/>
          <w:i w:val="false"/>
          <w:color w:val="000000"/>
          <w:sz w:val="21"/>
        </w:rPr>
        <w:t>，中共杭州市钱塘区委常委、杭州钱塘新区党工委委员，东部湾新城指挥部党委书记、指挥长</w:t>
      </w:r>
      <w:r>
        <w:rPr>
          <w:rFonts w:ascii="宋体" w:hAnsi="Times New Roman" w:eastAsia="宋体"/>
          <w:b/>
          <w:i w:val="false"/>
          <w:color w:val="07787e"/>
          <w:sz w:val="21"/>
          <w:u w:val="single"/>
        </w:rPr>
        <w:t>周妙荣</w:t>
      </w:r>
      <w:r>
        <w:rPr>
          <w:rFonts w:ascii="宋体" w:hAnsi="Times New Roman" w:eastAsia="宋体"/>
          <w:b w:val="false"/>
          <w:i w:val="false"/>
          <w:color w:val="000000"/>
          <w:sz w:val="21"/>
        </w:rPr>
        <w:t>等领导出席活动，并与多家服务生态共建单位代表、首批入园企业家代表共同见证这一重要时刻。</w:t>
      </w:r>
    </w:p>
    <w:bookmarkEnd w:id="3"/>
    <w:bookmarkStart w:name="u614276e6" w:id="4"/>
    <w:p>
      <w:pPr>
        <w:spacing w:after="50" w:line="360" w:lineRule="auto" w:beforeLines="100"/>
        <w:ind w:left="0"/>
        <w:jc w:val="left"/>
      </w:pPr>
      <w:bookmarkStart w:name="u4a4da930" w:id="5"/>
      <w:r>
        <w:rPr>
          <w:rFonts w:eastAsia="宋体" w:ascii="宋体"/>
        </w:rPr>
        <w:drawing>
          <wp:inline distT="0" distB="0" distL="0" distR="0">
            <wp:extent cx="5842000" cy="214980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962534" cy="8082016"/>
                    </a:xfrm>
                    <a:prstGeom prst="rect">
                      <a:avLst/>
                    </a:prstGeom>
                  </pic:spPr>
                </pic:pic>
              </a:graphicData>
            </a:graphic>
          </wp:inline>
        </w:drawing>
      </w:r>
      <w:bookmarkEnd w:id="5"/>
    </w:p>
    <w:bookmarkEnd w:id="4"/>
    <w:bookmarkStart w:name="heading-91730b42-790e-4620-8e3b-3b6908b64ac7--开园启新程-签约促融合-0" w:id="6"/>
    <w:p>
      <w:pPr>
        <w:pStyle w:val="Heading3"/>
        <w:spacing w:after="50" w:line="360" w:lineRule="auto" w:beforeLines="100"/>
        <w:ind w:left="0"/>
        <w:jc w:val="left"/>
      </w:pPr>
      <w:bookmarkStart w:name="u1bb76714" w:id="7"/>
      <w:r>
        <w:rPr>
          <w:rFonts w:eastAsia="宋体" w:ascii="宋体"/>
        </w:rPr>
        <w:drawing>
          <wp:inline distT="0" distB="0" distL="0" distR="0">
            <wp:extent cx="5841999" cy="350507"/>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164800" cy="1389840"/>
                    </a:xfrm>
                    <a:prstGeom prst="rect">
                      <a:avLst/>
                    </a:prstGeom>
                  </pic:spPr>
                </pic:pic>
              </a:graphicData>
            </a:graphic>
          </wp:inline>
        </w:drawing>
      </w:r>
      <w:bookmarkEnd w:id="7"/>
    </w:p>
    <w:bookmarkEnd w:id="6"/>
    <w:bookmarkStart w:name="uc8d7e837" w:id="8"/>
    <w:p>
      <w:pPr>
        <w:spacing w:after="50" w:line="360" w:lineRule="auto" w:beforeLines="100"/>
        <w:ind w:left="0"/>
        <w:jc w:val="left"/>
      </w:pPr>
      <w:r>
        <w:rPr>
          <w:rFonts w:ascii="宋体" w:hAnsi="Times New Roman" w:eastAsia="宋体"/>
          <w:b w:val="false"/>
          <w:i w:val="false"/>
          <w:color w:val="000000"/>
          <w:sz w:val="21"/>
        </w:rPr>
        <w:t>仪式上，</w:t>
      </w:r>
      <w:r>
        <w:rPr>
          <w:rFonts w:ascii="宋体" w:hAnsi="Times New Roman" w:eastAsia="宋体"/>
          <w:b/>
          <w:i w:val="false"/>
          <w:color w:val="07787e"/>
          <w:sz w:val="21"/>
          <w:u w:val="single"/>
        </w:rPr>
        <w:t>沈燕俊</w:t>
      </w:r>
      <w:r>
        <w:rPr>
          <w:rFonts w:ascii="宋体" w:hAnsi="Times New Roman" w:eastAsia="宋体"/>
          <w:b w:val="false"/>
          <w:i w:val="false"/>
          <w:color w:val="000000"/>
          <w:sz w:val="21"/>
        </w:rPr>
        <w:t>区长在致辞中指出，杭州电子科技大学大学科技园的开园是钱塘区推进“创新强区、人才优先”战略的重要成果，政校企三方将以此为契机，进一步整合资源、优势互补，共同打造集人才培养、科技创新、成果转化于一体的产业生态高地，为区域经济发展提供智力支持和人才保障。</w:t>
      </w:r>
      <w:r>
        <w:rPr>
          <w:rFonts w:ascii="宋体" w:hAnsi="Times New Roman" w:eastAsia="宋体"/>
          <w:b/>
          <w:i w:val="false"/>
          <w:color w:val="07787e"/>
          <w:sz w:val="21"/>
          <w:u w:val="single"/>
        </w:rPr>
        <w:t>陈积明</w:t>
      </w:r>
      <w:r>
        <w:rPr>
          <w:rFonts w:ascii="宋体" w:hAnsi="Times New Roman" w:eastAsia="宋体"/>
          <w:b w:val="false"/>
          <w:i w:val="false"/>
          <w:color w:val="000000"/>
          <w:sz w:val="21"/>
        </w:rPr>
        <w:t>校长强调，杭电将充分发挥在电子信息、计算机科学、智能制造等领域的学科优势，推动科技园成为“</w:t>
      </w:r>
      <w:r>
        <w:rPr>
          <w:rFonts w:ascii="宋体" w:hAnsi="Times New Roman" w:eastAsia="宋体"/>
          <w:b/>
          <w:i w:val="false"/>
          <w:color w:val="07787e"/>
          <w:sz w:val="21"/>
        </w:rPr>
        <w:t>教科人一体化</w:t>
      </w:r>
      <w:r>
        <w:rPr>
          <w:rFonts w:ascii="宋体" w:hAnsi="Times New Roman" w:eastAsia="宋体"/>
          <w:b w:val="false"/>
          <w:i w:val="false"/>
          <w:color w:val="000000"/>
          <w:sz w:val="21"/>
        </w:rPr>
        <w:t>”的实践样板，促进教育链、人才链与产业链、创新链的深度融合，服务国家“数字中国”建设和地方产业升级需求。</w:t>
      </w:r>
    </w:p>
    <w:bookmarkEnd w:id="8"/>
    <w:bookmarkStart w:name="u8dad660b" w:id="9"/>
    <w:p>
      <w:pPr>
        <w:spacing w:after="50" w:line="360" w:lineRule="auto" w:beforeLines="100"/>
        <w:ind w:left="0"/>
        <w:jc w:val="left"/>
      </w:pPr>
      <w:bookmarkStart w:name="u07fb7839" w:id="10"/>
      <w:r>
        <w:rPr>
          <w:rFonts w:eastAsia="宋体" w:ascii="宋体"/>
        </w:rPr>
        <w:drawing>
          <wp:inline distT="0" distB="0" distL="0" distR="0">
            <wp:extent cx="5841999" cy="2173151"/>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926800" cy="8900472"/>
                    </a:xfrm>
                    <a:prstGeom prst="rect">
                      <a:avLst/>
                    </a:prstGeom>
                  </pic:spPr>
                </pic:pic>
              </a:graphicData>
            </a:graphic>
          </wp:inline>
        </w:drawing>
      </w:r>
      <w:bookmarkEnd w:id="10"/>
    </w:p>
    <w:bookmarkEnd w:id="9"/>
    <w:bookmarkStart w:name="u664e6591" w:id="11"/>
    <w:p>
      <w:pPr>
        <w:spacing w:after="50" w:line="360" w:lineRule="auto" w:beforeLines="100"/>
        <w:ind w:left="0"/>
        <w:jc w:val="left"/>
      </w:pPr>
      <w:r>
        <w:rPr>
          <w:rFonts w:ascii="宋体" w:hAnsi="Times New Roman" w:eastAsia="宋体"/>
          <w:b w:val="false"/>
          <w:i w:val="false"/>
          <w:color w:val="000000"/>
          <w:sz w:val="21"/>
        </w:rPr>
        <w:t>活动伊始，与会领导共同为杭州电子科技大学大学科技园</w:t>
      </w:r>
      <w:r>
        <w:rPr>
          <w:rFonts w:ascii="宋体" w:hAnsi="Times New Roman" w:eastAsia="宋体"/>
          <w:b/>
          <w:i w:val="false"/>
          <w:color w:val="07787e"/>
          <w:sz w:val="21"/>
        </w:rPr>
        <w:t>揭牌</w:t>
      </w:r>
      <w:r>
        <w:rPr>
          <w:rFonts w:ascii="宋体" w:hAnsi="Times New Roman" w:eastAsia="宋体"/>
          <w:b w:val="false"/>
          <w:i w:val="false"/>
          <w:color w:val="000000"/>
          <w:sz w:val="21"/>
        </w:rPr>
        <w:t>，标志着科技园正式进入运营阶段。随后，在上午10时35分举行的签约仪式上，杭州电子科技大学大学科技园与多家服务生态共建单位达成合作，涉及技术研发、成果转化、人才培养、产业投资等多个领域，并与首批入园企业同步完成“</w:t>
      </w:r>
      <w:r>
        <w:rPr>
          <w:rFonts w:ascii="宋体" w:hAnsi="Times New Roman" w:eastAsia="宋体"/>
          <w:b/>
          <w:i w:val="false"/>
          <w:color w:val="07787e"/>
          <w:sz w:val="21"/>
        </w:rPr>
        <w:t>交钥匙</w:t>
      </w:r>
      <w:r>
        <w:rPr>
          <w:rFonts w:ascii="宋体" w:hAnsi="Times New Roman" w:eastAsia="宋体"/>
          <w:b w:val="false"/>
          <w:i w:val="false"/>
          <w:color w:val="000000"/>
          <w:sz w:val="21"/>
        </w:rPr>
        <w:t>”仪式，正式入驻园区，这批企业聚焦物联网、人工智能、集成电路、工业软件等数字经济核心产业，将有效推动园区创新资源的集聚与协同。</w:t>
      </w:r>
    </w:p>
    <w:bookmarkEnd w:id="11"/>
    <w:bookmarkStart w:name="u544e10f2" w:id="12"/>
    <w:p>
      <w:pPr>
        <w:spacing w:after="50" w:line="360" w:lineRule="auto" w:beforeLines="100"/>
        <w:ind w:left="0"/>
        <w:jc w:val="left"/>
      </w:pPr>
      <w:bookmarkStart w:name="ua56d151b" w:id="13"/>
      <w:r>
        <w:rPr>
          <w:rFonts w:eastAsia="宋体" w:ascii="宋体"/>
        </w:rPr>
        <w:drawing>
          <wp:inline distT="0" distB="0" distL="0" distR="0">
            <wp:extent cx="5842000" cy="210893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570266" cy="8869770"/>
                    </a:xfrm>
                    <a:prstGeom prst="rect">
                      <a:avLst/>
                    </a:prstGeom>
                  </pic:spPr>
                </pic:pic>
              </a:graphicData>
            </a:graphic>
          </wp:inline>
        </w:drawing>
      </w:r>
      <w:bookmarkEnd w:id="13"/>
    </w:p>
    <w:bookmarkEnd w:id="12"/>
    <w:bookmarkStart w:name="oyFy7" w:id="14"/>
    <w:p>
      <w:pPr>
        <w:pStyle w:val="Heading3"/>
        <w:spacing w:after="50" w:line="360" w:lineRule="auto" w:beforeLines="100"/>
        <w:ind w:left="0"/>
        <w:jc w:val="left"/>
      </w:pPr>
      <w:bookmarkStart w:name="u268768cd" w:id="15"/>
      <w:r>
        <w:rPr>
          <w:rFonts w:eastAsia="宋体" w:ascii="宋体"/>
        </w:rPr>
        <w:drawing>
          <wp:inline distT="0" distB="0" distL="0" distR="0">
            <wp:extent cx="5842000" cy="33298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536400" cy="1398552"/>
                    </a:xfrm>
                    <a:prstGeom prst="rect">
                      <a:avLst/>
                    </a:prstGeom>
                  </pic:spPr>
                </pic:pic>
              </a:graphicData>
            </a:graphic>
          </wp:inline>
        </w:drawing>
      </w:r>
      <w:bookmarkEnd w:id="15"/>
    </w:p>
    <w:bookmarkEnd w:id="14"/>
    <w:bookmarkStart w:name="ubb61c562" w:id="16"/>
    <w:p>
      <w:pPr>
        <w:spacing w:after="50" w:line="360" w:lineRule="auto" w:beforeLines="100"/>
        <w:ind w:left="0"/>
        <w:jc w:val="left"/>
      </w:pPr>
      <w:r>
        <w:rPr>
          <w:rFonts w:ascii="宋体" w:hAnsi="Times New Roman" w:eastAsia="宋体"/>
          <w:b w:val="false"/>
          <w:i w:val="false"/>
          <w:color w:val="000000"/>
          <w:sz w:val="21"/>
        </w:rPr>
        <w:t>开园仪式后，领导一行实地参观杭州电子科技大学大学科技园。在</w:t>
      </w:r>
      <w:r>
        <w:rPr>
          <w:rFonts w:ascii="宋体" w:hAnsi="Times New Roman" w:eastAsia="宋体"/>
          <w:b/>
          <w:i w:val="false"/>
          <w:color w:val="07787e"/>
          <w:sz w:val="21"/>
          <w:u w:val="single"/>
        </w:rPr>
        <w:t>一楼展厅</w:t>
      </w:r>
      <w:r>
        <w:rPr>
          <w:rFonts w:ascii="宋体" w:hAnsi="Times New Roman" w:eastAsia="宋体"/>
          <w:b w:val="false"/>
          <w:i w:val="false"/>
          <w:color w:val="000000"/>
          <w:sz w:val="21"/>
        </w:rPr>
        <w:t>，工作人员详细介绍了园区在</w:t>
      </w:r>
      <w:r>
        <w:rPr>
          <w:rFonts w:ascii="宋体" w:hAnsi="Times New Roman" w:eastAsia="宋体"/>
          <w:b/>
          <w:i w:val="false"/>
          <w:color w:val="07787e"/>
          <w:sz w:val="21"/>
        </w:rPr>
        <w:t>科研设备、创新平台及成果转化</w:t>
      </w:r>
      <w:r>
        <w:rPr>
          <w:rFonts w:ascii="宋体" w:hAnsi="Times New Roman" w:eastAsia="宋体"/>
          <w:b w:val="false"/>
          <w:i w:val="false"/>
          <w:color w:val="000000"/>
          <w:sz w:val="21"/>
        </w:rPr>
        <w:t>方面的布局。其中，</w:t>
      </w:r>
      <w:r>
        <w:rPr>
          <w:rFonts w:ascii="宋体" w:hAnsi="Times New Roman" w:eastAsia="宋体"/>
          <w:b/>
          <w:i w:val="false"/>
          <w:color w:val="07787e"/>
          <w:sz w:val="21"/>
        </w:rPr>
        <w:t>蓝碳一号卫星模型</w:t>
      </w:r>
      <w:r>
        <w:rPr>
          <w:rFonts w:ascii="宋体" w:hAnsi="Times New Roman" w:eastAsia="宋体"/>
          <w:b w:val="false"/>
          <w:i w:val="false"/>
          <w:color w:val="000000"/>
          <w:sz w:val="21"/>
        </w:rPr>
        <w:t>（浙江省首个海洋卫星监测平台）、</w:t>
      </w:r>
      <w:r>
        <w:rPr>
          <w:rFonts w:ascii="宋体" w:hAnsi="Times New Roman" w:eastAsia="宋体"/>
          <w:b/>
          <w:i w:val="false"/>
          <w:color w:val="07787e"/>
          <w:sz w:val="21"/>
        </w:rPr>
        <w:t>设备检测云平台</w:t>
      </w:r>
      <w:r>
        <w:rPr>
          <w:rFonts w:ascii="宋体" w:hAnsi="Times New Roman" w:eastAsia="宋体"/>
          <w:b w:val="false"/>
          <w:i w:val="false"/>
          <w:color w:val="000000"/>
          <w:sz w:val="21"/>
        </w:rPr>
        <w:t>、</w:t>
      </w:r>
      <w:r>
        <w:rPr>
          <w:rFonts w:ascii="宋体" w:hAnsi="Times New Roman" w:eastAsia="宋体"/>
          <w:b/>
          <w:i w:val="false"/>
          <w:color w:val="07787e"/>
          <w:sz w:val="21"/>
        </w:rPr>
        <w:t>自动驾驶安全综合防控系统</w:t>
      </w:r>
      <w:r>
        <w:rPr>
          <w:rFonts w:ascii="宋体" w:hAnsi="Times New Roman" w:eastAsia="宋体"/>
          <w:b w:val="false"/>
          <w:i w:val="false"/>
          <w:color w:val="000000"/>
          <w:sz w:val="21"/>
        </w:rPr>
        <w:t>等核心科研装备集中亮相，展现了杭电在空天信息、海洋工程、工业互联网等前沿领域的科技创新能力。</w:t>
      </w:r>
    </w:p>
    <w:bookmarkEnd w:id="16"/>
    <w:bookmarkStart w:name="uf8cbb603" w:id="17"/>
    <w:p>
      <w:pPr>
        <w:spacing w:after="50" w:line="360" w:lineRule="auto" w:beforeLines="100"/>
        <w:ind w:left="0"/>
        <w:jc w:val="left"/>
      </w:pPr>
      <w:bookmarkStart w:name="u090e562a" w:id="18"/>
      <w:r>
        <w:rPr>
          <w:rFonts w:eastAsia="宋体" w:ascii="宋体"/>
        </w:rPr>
        <w:drawing>
          <wp:inline distT="0" distB="0" distL="0" distR="0">
            <wp:extent cx="5842000" cy="219072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3554266" cy="8832750"/>
                    </a:xfrm>
                    <a:prstGeom prst="rect">
                      <a:avLst/>
                    </a:prstGeom>
                  </pic:spPr>
                </pic:pic>
              </a:graphicData>
            </a:graphic>
          </wp:inline>
        </w:drawing>
      </w:r>
      <w:bookmarkEnd w:id="18"/>
    </w:p>
    <w:bookmarkEnd w:id="17"/>
    <w:bookmarkStart w:name="ua49f2eea" w:id="19"/>
    <w:p>
      <w:pPr>
        <w:spacing w:after="50" w:line="360" w:lineRule="auto" w:beforeLines="100"/>
        <w:ind w:left="0"/>
        <w:jc w:val="left"/>
      </w:pPr>
      <w:r>
        <w:rPr>
          <w:rFonts w:ascii="宋体" w:hAnsi="Times New Roman" w:eastAsia="宋体"/>
          <w:b w:val="false"/>
          <w:i w:val="false"/>
          <w:color w:val="000000"/>
          <w:sz w:val="21"/>
        </w:rPr>
        <w:t>在二楼</w:t>
      </w:r>
      <w:r>
        <w:rPr>
          <w:rFonts w:ascii="宋体" w:hAnsi="Times New Roman" w:eastAsia="宋体"/>
          <w:b/>
          <w:i w:val="false"/>
          <w:color w:val="07787e"/>
          <w:sz w:val="21"/>
          <w:u w:val="single"/>
        </w:rPr>
        <w:t>杭州轨物科技有限公司展厅</w:t>
      </w:r>
      <w:r>
        <w:rPr>
          <w:rFonts w:ascii="宋体" w:hAnsi="Times New Roman" w:eastAsia="宋体"/>
          <w:b w:val="false"/>
          <w:i w:val="false"/>
          <w:color w:val="000000"/>
          <w:sz w:val="21"/>
        </w:rPr>
        <w:t>，杭州轨物科技有限公司创始人、杭州电子科技大学博士生导师</w:t>
      </w:r>
      <w:r>
        <w:rPr>
          <w:rFonts w:ascii="宋体" w:hAnsi="Times New Roman" w:eastAsia="宋体"/>
          <w:b/>
          <w:i w:val="false"/>
          <w:color w:val="07787e"/>
          <w:sz w:val="21"/>
          <w:u w:val="single"/>
        </w:rPr>
        <w:t>陈科明教授</w:t>
      </w:r>
      <w:r>
        <w:rPr>
          <w:rFonts w:ascii="宋体" w:hAnsi="Times New Roman" w:eastAsia="宋体"/>
          <w:b w:val="false"/>
          <w:i w:val="false"/>
          <w:color w:val="000000"/>
          <w:sz w:val="21"/>
        </w:rPr>
        <w:t>、杭州轨物科技有限公司总经理</w:t>
      </w:r>
      <w:r>
        <w:rPr>
          <w:rFonts w:ascii="宋体" w:hAnsi="Times New Roman" w:eastAsia="宋体"/>
          <w:b/>
          <w:i w:val="false"/>
          <w:color w:val="07787e"/>
          <w:sz w:val="21"/>
          <w:u w:val="single"/>
        </w:rPr>
        <w:t>林董源</w:t>
      </w:r>
      <w:r>
        <w:rPr>
          <w:rFonts w:ascii="宋体" w:hAnsi="Times New Roman" w:eastAsia="宋体"/>
          <w:b w:val="false"/>
          <w:i w:val="false"/>
          <w:color w:val="000000"/>
          <w:sz w:val="21"/>
        </w:rPr>
        <w:t>热情接待，并向领导详细介绍了公司在覆盖新能源、电力、机械装备等领域的多项核心解决方案，包括产品数字化设计、智能运维系统及全生命周期管理服务等，各位领导对轨物科技的技术创新能力和产业化成果给予高度评价，认为其在推动传统产业数字化转型、赋能企业智能制造升级方面具有重要示范意义。</w:t>
      </w:r>
    </w:p>
    <w:bookmarkEnd w:id="19"/>
    <w:bookmarkStart w:name="u29b71831" w:id="20"/>
    <w:p>
      <w:pPr>
        <w:spacing w:after="50" w:line="360" w:lineRule="auto" w:beforeLines="100"/>
        <w:ind w:left="0"/>
        <w:jc w:val="left"/>
      </w:pPr>
      <w:bookmarkStart w:name="u7eca90ac" w:id="21"/>
      <w:r>
        <w:rPr>
          <w:rFonts w:eastAsia="宋体" w:ascii="宋体"/>
        </w:rPr>
        <w:drawing>
          <wp:inline distT="0" distB="0" distL="0" distR="0">
            <wp:extent cx="5842000" cy="202127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213734" cy="8723698"/>
                    </a:xfrm>
                    <a:prstGeom prst="rect">
                      <a:avLst/>
                    </a:prstGeom>
                  </pic:spPr>
                </pic:pic>
              </a:graphicData>
            </a:graphic>
          </wp:inline>
        </w:drawing>
      </w:r>
      <w:bookmarkEnd w:id="21"/>
    </w:p>
    <w:bookmarkEnd w:id="20"/>
    <w:bookmarkStart w:name="ubf79926e" w:id="22"/>
    <w:p>
      <w:pPr>
        <w:spacing w:after="50" w:line="360" w:lineRule="auto" w:beforeLines="100"/>
        <w:ind w:left="0"/>
        <w:jc w:val="left"/>
      </w:pPr>
      <w:bookmarkStart w:name="ubd889fe0" w:id="23"/>
      <w:r>
        <w:rPr>
          <w:rFonts w:eastAsia="宋体" w:ascii="宋体"/>
        </w:rPr>
        <w:drawing>
          <wp:inline distT="0" distB="0" distL="0" distR="0">
            <wp:extent cx="5841999" cy="33299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604134" cy="1402428"/>
                    </a:xfrm>
                    <a:prstGeom prst="rect">
                      <a:avLst/>
                    </a:prstGeom>
                  </pic:spPr>
                </pic:pic>
              </a:graphicData>
            </a:graphic>
          </wp:inline>
        </w:drawing>
      </w:r>
      <w:bookmarkEnd w:id="23"/>
      <w:r>
        <w:rPr>
          <w:rFonts w:ascii="宋体" w:hAnsi="Times New Roman" w:eastAsia="宋体"/>
          <w:b w:val="false"/>
          <w:i w:val="false"/>
          <w:color w:val="000000"/>
          <w:sz w:val="21"/>
        </w:rPr>
        <w:t>此次开园及签约活动，不仅为入驻企业提供了“</w:t>
      </w:r>
      <w:r>
        <w:rPr>
          <w:rFonts w:ascii="宋体" w:hAnsi="Times New Roman" w:eastAsia="宋体"/>
          <w:b/>
          <w:i w:val="false"/>
          <w:color w:val="07787e"/>
          <w:sz w:val="21"/>
        </w:rPr>
        <w:t>政策+平台+服务</w:t>
      </w:r>
      <w:r>
        <w:rPr>
          <w:rFonts w:ascii="宋体" w:hAnsi="Times New Roman" w:eastAsia="宋体"/>
          <w:b w:val="false"/>
          <w:i w:val="false"/>
          <w:color w:val="000000"/>
          <w:sz w:val="21"/>
        </w:rPr>
        <w:t>”的全方位支持，更构建了政府引导、高校支撑、企业主体、社会参与的创新合作生态。杭州电子科技大学大学科技园将以“</w:t>
      </w:r>
      <w:r>
        <w:rPr>
          <w:rFonts w:ascii="宋体" w:hAnsi="Times New Roman" w:eastAsia="宋体"/>
          <w:b/>
          <w:i w:val="false"/>
          <w:color w:val="07787e"/>
          <w:sz w:val="21"/>
        </w:rPr>
        <w:t>教科人一体化</w:t>
      </w:r>
      <w:r>
        <w:rPr>
          <w:rFonts w:ascii="宋体" w:hAnsi="Times New Roman" w:eastAsia="宋体"/>
          <w:b w:val="false"/>
          <w:i w:val="false"/>
          <w:color w:val="000000"/>
          <w:sz w:val="21"/>
        </w:rPr>
        <w:t>”为核心，通过“</w:t>
      </w:r>
      <w:r>
        <w:rPr>
          <w:rFonts w:ascii="宋体" w:hAnsi="Times New Roman" w:eastAsia="宋体"/>
          <w:b/>
          <w:i w:val="false"/>
          <w:color w:val="07787e"/>
          <w:sz w:val="21"/>
        </w:rPr>
        <w:t>产学研用</w:t>
      </w:r>
      <w:r>
        <w:rPr>
          <w:rFonts w:ascii="宋体" w:hAnsi="Times New Roman" w:eastAsia="宋体"/>
          <w:b w:val="false"/>
          <w:i w:val="false"/>
          <w:color w:val="000000"/>
          <w:sz w:val="21"/>
        </w:rPr>
        <w:t>”深度融合，加速科技成果向现实生产力转化，助力钱塘区打造“</w:t>
      </w:r>
      <w:r>
        <w:rPr>
          <w:rFonts w:ascii="宋体" w:hAnsi="Times New Roman" w:eastAsia="宋体"/>
          <w:b/>
          <w:i w:val="false"/>
          <w:color w:val="07787e"/>
          <w:sz w:val="21"/>
        </w:rPr>
        <w:t>数字经济新一线</w:t>
      </w:r>
      <w:r>
        <w:rPr>
          <w:rFonts w:ascii="宋体" w:hAnsi="Times New Roman" w:eastAsia="宋体"/>
          <w:b w:val="false"/>
          <w:i w:val="false"/>
          <w:color w:val="000000"/>
          <w:sz w:val="21"/>
        </w:rPr>
        <w:t>”的产业高地。</w:t>
      </w:r>
    </w:p>
    <w:bookmarkEnd w:id="22"/>
    <w:bookmarkStart w:name="u6c9b3c1b" w:id="24"/>
    <w:p>
      <w:pPr>
        <w:spacing w:after="50" w:line="360" w:lineRule="auto" w:beforeLines="100"/>
        <w:ind w:left="0"/>
        <w:jc w:val="left"/>
      </w:pPr>
      <w:r>
        <w:rPr>
          <w:rFonts w:ascii="宋体" w:hAnsi="Times New Roman" w:eastAsia="宋体"/>
          <w:b w:val="false"/>
          <w:i w:val="false"/>
          <w:color w:val="000000"/>
          <w:sz w:val="21"/>
        </w:rPr>
        <w:t>轨物科技创始人</w:t>
      </w:r>
      <w:r>
        <w:rPr>
          <w:rFonts w:ascii="宋体" w:hAnsi="Times New Roman" w:eastAsia="宋体"/>
          <w:b/>
          <w:i w:val="false"/>
          <w:color w:val="07787e"/>
          <w:sz w:val="21"/>
          <w:u w:val="single"/>
        </w:rPr>
        <w:t>陈科明</w:t>
      </w:r>
      <w:r>
        <w:rPr>
          <w:rFonts w:ascii="宋体" w:hAnsi="Times New Roman" w:eastAsia="宋体"/>
          <w:b w:val="false"/>
          <w:i w:val="false"/>
          <w:color w:val="000000"/>
          <w:sz w:val="21"/>
        </w:rPr>
        <w:t>教授表示，此次活动的成功举办为公司发展注入了强劲动力，未来将持续聚焦技术创新与场景落地，依托科技园的创新生态，进一步优化数字化解决方案，为制造业转型升级和数字经济发展贡献“科技力量”。</w:t>
      </w:r>
    </w:p>
    <w:bookmarkEnd w:id="24"/>
    <w:bookmarkStart w:name="u1f863f12" w:id="25"/>
    <w:p>
      <w:pPr>
        <w:spacing w:after="50" w:line="360" w:lineRule="auto" w:beforeLines="100"/>
        <w:ind w:left="0"/>
        <w:jc w:val="left"/>
      </w:pPr>
      <w:r>
        <w:rPr>
          <w:rFonts w:ascii="宋体" w:hAnsi="Times New Roman" w:eastAsia="宋体"/>
          <w:b w:val="false"/>
          <w:i w:val="false"/>
          <w:color w:val="000000"/>
          <w:sz w:val="21"/>
        </w:rPr>
        <w:t>杭州电子科技大学大学科技园的正式运营，将为杭州市推进“</w:t>
      </w:r>
      <w:r>
        <w:rPr>
          <w:rFonts w:ascii="宋体" w:hAnsi="Times New Roman" w:eastAsia="宋体"/>
          <w:b/>
          <w:i w:val="false"/>
          <w:color w:val="07787e"/>
          <w:sz w:val="21"/>
        </w:rPr>
        <w:t>两个先行</w:t>
      </w:r>
      <w:r>
        <w:rPr>
          <w:rFonts w:ascii="宋体" w:hAnsi="Times New Roman" w:eastAsia="宋体"/>
          <w:b w:val="false"/>
          <w:i w:val="false"/>
          <w:color w:val="000000"/>
          <w:sz w:val="21"/>
        </w:rPr>
        <w:t>”、打造“全国数字经济第一城”提供重要支撑，也为长三角地区产教融合创新实践树立了典范。未来，园区将努力成为支撑区域高质量发展的“创新引擎”和“人才驿站”，书写“</w:t>
      </w:r>
      <w:r>
        <w:rPr>
          <w:rFonts w:ascii="宋体" w:hAnsi="Times New Roman" w:eastAsia="宋体"/>
          <w:b/>
          <w:i w:val="false"/>
          <w:color w:val="07787e"/>
          <w:sz w:val="21"/>
        </w:rPr>
        <w:t>潮起钱塘、智汇杭电</w:t>
      </w:r>
      <w:r>
        <w:rPr>
          <w:rFonts w:ascii="宋体" w:hAnsi="Times New Roman" w:eastAsia="宋体"/>
          <w:b w:val="false"/>
          <w:i w:val="false"/>
          <w:color w:val="000000"/>
          <w:sz w:val="21"/>
        </w:rPr>
        <w:t>”的新篇章。</w:t>
      </w:r>
    </w:p>
    <w:bookmarkEnd w:id="25"/>
    <w:bookmarkStart w:name="u43fed17a" w:id="26"/>
    <w:p>
      <w:pPr>
        <w:spacing w:after="50" w:line="360" w:lineRule="auto" w:beforeLines="100"/>
        <w:ind w:left="0"/>
        <w:jc w:val="left"/>
      </w:pPr>
      <w:bookmarkStart w:name="ua2df75a6" w:id="27"/>
      <w:r>
        <w:rPr>
          <w:rFonts w:eastAsia="宋体" w:ascii="宋体"/>
        </w:rPr>
        <w:drawing>
          <wp:inline distT="0" distB="0" distL="0" distR="0">
            <wp:extent cx="5842000" cy="162407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5927337" cy="26667706"/>
                    </a:xfrm>
                    <a:prstGeom prst="rect">
                      <a:avLst/>
                    </a:prstGeom>
                  </pic:spPr>
                </pic:pic>
              </a:graphicData>
            </a:graphic>
          </wp:inline>
        </w:drawing>
      </w:r>
      <w:bookmarkEnd w:id="27"/>
    </w:p>
    <w:bookmarkEnd w:id="26"/>
    <w:bookmarkStart w:name="u371e2c29" w:id="28"/>
    <w:p>
      <w:pPr>
        <w:spacing w:after="50" w:line="360" w:lineRule="auto" w:beforeLines="100"/>
        <w:ind w:left="0"/>
        <w:jc w:val="left"/>
      </w:pPr>
      <w:bookmarkStart w:name="u6c44b0f8" w:id="29"/>
      <w:r>
        <w:rPr>
          <w:rFonts w:eastAsia="宋体" w:ascii="宋体"/>
        </w:rPr>
        <w:drawing>
          <wp:inline distT="0" distB="0" distL="0" distR="0">
            <wp:extent cx="5841999" cy="328896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631333" cy="7674253"/>
                    </a:xfrm>
                    <a:prstGeom prst="rect">
                      <a:avLst/>
                    </a:prstGeom>
                  </pic:spPr>
                </pic:pic>
              </a:graphicData>
            </a:graphic>
          </wp:inline>
        </w:drawing>
      </w:r>
      <w:bookmarkEnd w:id="29"/>
      <w:bookmarkStart w:name="u3c7ebc27" w:id="30"/>
      <w:r>
        <w:rPr>
          <w:rFonts w:eastAsia="宋体" w:ascii="宋体"/>
        </w:rPr>
        <w:drawing>
          <wp:inline distT="0" distB="0" distL="0" distR="0">
            <wp:extent cx="5842000" cy="4848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487466" cy="1866421"/>
                    </a:xfrm>
                    <a:prstGeom prst="rect">
                      <a:avLst/>
                    </a:prstGeom>
                  </pic:spPr>
                </pic:pic>
              </a:graphicData>
            </a:graphic>
          </wp:inline>
        </w:drawing>
      </w:r>
      <w:bookmarkEnd w:id="30"/>
    </w:p>
    <w:bookmarkEnd w:id="28"/>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14" Target="media/document_image_rId14.png" Type="http://schemas.openxmlformats.org/officeDocument/2006/relationships/image"/><Relationship Id="rId15" Target="media/document_image_rId15.png" Type="http://schemas.openxmlformats.org/officeDocument/2006/relationships/image"/><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