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image/png" PartName="/word/media/document_image_rId11.png"/>
  <Override ContentType="image/png" PartName="/word/media/document_image_rId12.png"/>
  <Override ContentType="image/png" PartName="/word/media/document_image_rId13.png"/>
  <Override ContentType="image/png" PartName="/word/media/document_image_rId14.png"/>
  <Override ContentType="image/png" PartName="/word/media/document_image_rId15.png"/>
  <Override ContentType="image/png" PartName="/word/media/document_image_rId16.png"/>
  <Override ContentType="image/png" PartName="/word/media/document_image_rId17.png"/>
  <Override ContentType="image/png" PartName="/word/media/document_image_rId18.png"/>
  <Override ContentType="image/png" PartName="/word/media/document_image_rId19.png"/>
  <Override ContentType="image/png" PartName="/word/media/document_image_rId20.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【轨物洞见】136 号文超详版政策拆解！光伏运维进入“能力内卷期”</w:t>
      </w:r>
    </w:p>
    <w:p>
      <w:pPr>
        <w:spacing w:after="50" w:line="360" w:lineRule="auto" w:beforeLines="100"/>
        <w:ind w:left="0"/>
        <w:jc w:val="left"/>
      </w:pPr>
      <w:bookmarkStart w:name="u452c8c10" w:id="0"/>
      <w:bookmarkStart w:name="u2e9cdcb9" w:id="1"/>
      <w:r>
        <w:rPr>
          <w:rFonts w:eastAsia="宋体" w:ascii="宋体"/>
        </w:rPr>
        <w:drawing>
          <wp:inline distT="0" distB="0" distL="0" distR="0">
            <wp:extent cx="5842000" cy="37970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243733" cy="730795"/>
                    </a:xfrm>
                    <a:prstGeom prst="rect">
                      <a:avLst/>
                    </a:prstGeom>
                  </pic:spPr>
                </pic:pic>
              </a:graphicData>
            </a:graphic>
          </wp:inline>
        </w:drawing>
      </w:r>
      <w:bookmarkEnd w:id="1"/>
      <w:bookmarkStart w:name="u816662c2" w:id="2"/>
      <w:r>
        <w:rPr>
          <w:rFonts w:eastAsia="宋体" w:ascii="宋体"/>
        </w:rPr>
        <w:drawing>
          <wp:inline distT="0" distB="0" distL="0" distR="0">
            <wp:extent cx="5842000" cy="162407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5927337" cy="26667706"/>
                    </a:xfrm>
                    <a:prstGeom prst="rect">
                      <a:avLst/>
                    </a:prstGeom>
                  </pic:spPr>
                </pic:pic>
              </a:graphicData>
            </a:graphic>
          </wp:inline>
        </w:drawing>
      </w:r>
      <w:bookmarkEnd w:id="2"/>
    </w:p>
    <w:bookmarkEnd w:id="0"/>
    <w:bookmarkStart w:name="yJ3qA" w:id="3"/>
    <w:p>
      <w:pPr>
        <w:pStyle w:val="Heading4"/>
        <w:spacing w:after="50" w:line="360" w:lineRule="auto" w:beforeLines="100"/>
        <w:ind w:left="0"/>
        <w:jc w:val="left"/>
      </w:pPr>
      <w:bookmarkStart w:name="u37ab143a" w:id="4"/>
      <w:r>
        <w:rPr>
          <w:rFonts w:eastAsia="宋体" w:ascii="宋体"/>
        </w:rPr>
        <w:drawing>
          <wp:inline distT="0" distB="0" distL="0" distR="0">
            <wp:extent cx="5842000" cy="36803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385866" cy="1410255"/>
                    </a:xfrm>
                    <a:prstGeom prst="rect">
                      <a:avLst/>
                    </a:prstGeom>
                  </pic:spPr>
                </pic:pic>
              </a:graphicData>
            </a:graphic>
          </wp:inline>
        </w:drawing>
      </w:r>
      <w:bookmarkEnd w:id="4"/>
    </w:p>
    <w:bookmarkEnd w:id="3"/>
    <w:bookmarkStart w:name="ucdd7301a" w:id="5"/>
    <w:p>
      <w:pPr>
        <w:spacing w:after="50" w:line="360" w:lineRule="auto" w:beforeLines="100"/>
        <w:ind w:left="0"/>
        <w:jc w:val="left"/>
      </w:pPr>
      <w:r>
        <w:rPr>
          <w:rFonts w:ascii="宋体" w:hAnsi="Times New Roman" w:eastAsia="宋体"/>
          <w:b w:val="false"/>
          <w:i w:val="false"/>
          <w:color w:val="000000"/>
          <w:sz w:val="22"/>
        </w:rPr>
        <w:t>2025年，随着“</w:t>
      </w:r>
      <w:r>
        <w:rPr>
          <w:rFonts w:ascii="宋体" w:hAnsi="Times New Roman" w:eastAsia="宋体"/>
          <w:b/>
          <w:i w:val="false"/>
          <w:color w:val="5c8d07"/>
          <w:sz w:val="22"/>
        </w:rPr>
        <w:t>136号文</w:t>
      </w:r>
      <w:r>
        <w:rPr>
          <w:rFonts w:ascii="宋体" w:hAnsi="Times New Roman" w:eastAsia="宋体"/>
          <w:b w:val="false"/>
          <w:i w:val="false"/>
          <w:color w:val="000000"/>
          <w:sz w:val="22"/>
        </w:rPr>
        <w:t>”的落地与h新增装机规模的快速增长，光伏运维行业进入了一个全新的“能力内卷期”。政策与市场之间相互作用，不断推高运维从业者的综合素质要求。光伏运维不再是简单的设备维修和巡检，而是成为了一项涵盖政策解读、设备故障处理、电力交易协同和成本管控四大核心能力的复杂工作。本文将深入探讨这些变化，以及运维从业者如何通过不断提升自身能力，适应这一行业新趋势。</w:t>
      </w:r>
    </w:p>
    <w:bookmarkEnd w:id="5"/>
    <w:bookmarkStart w:name="u7e9ab7cb" w:id="6"/>
    <w:p>
      <w:pPr>
        <w:spacing w:after="50" w:line="360" w:lineRule="auto" w:beforeLines="100"/>
        <w:ind w:left="0"/>
        <w:jc w:val="left"/>
      </w:pPr>
      <w:bookmarkStart w:name="u44290377" w:id="7"/>
      <w:r>
        <w:rPr>
          <w:rFonts w:eastAsia="宋体" w:ascii="宋体"/>
        </w:rPr>
        <w:drawing>
          <wp:inline distT="0" distB="0" distL="0" distR="0">
            <wp:extent cx="5842000" cy="130860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526000" cy="3925824"/>
                    </a:xfrm>
                    <a:prstGeom prst="rect">
                      <a:avLst/>
                    </a:prstGeom>
                  </pic:spPr>
                </pic:pic>
              </a:graphicData>
            </a:graphic>
          </wp:inline>
        </w:drawing>
      </w:r>
      <w:bookmarkEnd w:id="7"/>
    </w:p>
    <w:bookmarkEnd w:id="6"/>
    <w:bookmarkStart w:name="u9c0f0f2c" w:id="8"/>
    <w:p>
      <w:pPr>
        <w:spacing w:after="50" w:line="360" w:lineRule="auto" w:beforeLines="100"/>
        <w:ind w:left="0"/>
        <w:jc w:val="left"/>
      </w:pPr>
      <w:r>
        <w:rPr>
          <w:rFonts w:ascii="宋体" w:hAnsi="Times New Roman" w:eastAsia="宋体"/>
          <w:b w:val="false"/>
          <w:i w:val="false"/>
          <w:color w:val="000000"/>
          <w:sz w:val="22"/>
        </w:rPr>
        <w:t>光伏运维从业者首先必须具备强大的政策解读能力。这不仅意味着理解政策文件本身，更能将这些政策转化为实际的项目收益。首先，明确项目存量和增量机制电量选择规则至关重要，这一规则直接关系到项目的合规性以及潜在的亏损风险。其次，资质和证件的双合格是项目的必备条件，合规申报技巧对于缩短认证周期，加快项目进度具有重要作用。此外，从业者的政策解读能力还能直接降低项目的融资成本和提升绿电交易中的溢价收益，使他们从合规的执行者转变为价值创造者。</w:t>
      </w:r>
    </w:p>
    <w:bookmarkEnd w:id="8"/>
    <w:bookmarkStart w:name="ySjmf" w:id="9"/>
    <w:p>
      <w:pPr>
        <w:pStyle w:val="Heading4"/>
        <w:spacing w:after="50" w:line="360" w:lineRule="auto" w:beforeLines="100"/>
        <w:ind w:left="0"/>
        <w:jc w:val="left"/>
      </w:pPr>
      <w:bookmarkStart w:name="ub208a0a4" w:id="10"/>
      <w:r>
        <w:rPr>
          <w:rFonts w:eastAsia="宋体" w:ascii="宋体"/>
        </w:rPr>
        <w:drawing>
          <wp:inline distT="0" distB="0" distL="0" distR="0">
            <wp:extent cx="5841999" cy="137280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559867" cy="4126365"/>
                    </a:xfrm>
                    <a:prstGeom prst="rect">
                      <a:avLst/>
                    </a:prstGeom>
                  </pic:spPr>
                </pic:pic>
              </a:graphicData>
            </a:graphic>
          </wp:inline>
        </w:drawing>
      </w:r>
      <w:bookmarkEnd w:id="10"/>
    </w:p>
    <w:bookmarkEnd w:id="9"/>
    <w:bookmarkStart w:name="u16ad5546" w:id="11"/>
    <w:p>
      <w:pPr>
        <w:spacing w:after="50" w:line="360" w:lineRule="auto" w:beforeLines="100"/>
        <w:ind w:left="0"/>
        <w:jc w:val="left"/>
      </w:pPr>
      <w:r>
        <w:rPr>
          <w:rFonts w:ascii="宋体" w:hAnsi="Times New Roman" w:eastAsia="宋体"/>
          <w:b w:val="false"/>
          <w:i w:val="false"/>
          <w:color w:val="000000"/>
          <w:sz w:val="22"/>
        </w:rPr>
        <w:t>随着政策的深入实施，设备故障处理能力的重要性愈加凸显。高效的设备故障处理不仅可以避免不必要的发电损失，还能显著提升项目的盈利能力。设备故障不仅可以通过预防规避，例如通过日常巡检中的</w:t>
      </w:r>
      <w:r>
        <w:rPr>
          <w:rFonts w:ascii="宋体" w:hAnsi="Times New Roman" w:eastAsia="宋体"/>
          <w:b/>
          <w:i w:val="false"/>
          <w:color w:val="5c8d07"/>
          <w:sz w:val="22"/>
        </w:rPr>
        <w:t>外观观察、参数检测和历史对比</w:t>
      </w:r>
      <w:r>
        <w:rPr>
          <w:rFonts w:ascii="宋体" w:hAnsi="Times New Roman" w:eastAsia="宋体"/>
          <w:b w:val="false"/>
          <w:i w:val="false"/>
          <w:color w:val="000000"/>
          <w:sz w:val="22"/>
        </w:rPr>
        <w:t>，提早发现潜在问题。在故障发生时，通过精准溯源和反向排查，实现快速处置，最大限度减少故障对发电量的影响。这不仅提升了从业者的业务水平，也为其带来了更好的薪资待遇和职业发展前景。</w:t>
      </w:r>
    </w:p>
    <w:bookmarkEnd w:id="11"/>
    <w:bookmarkStart w:name="u3d83e578" w:id="12"/>
    <w:p>
      <w:pPr>
        <w:spacing w:after="50" w:line="360" w:lineRule="auto" w:beforeLines="100"/>
        <w:ind w:left="0"/>
        <w:jc w:val="left"/>
      </w:pPr>
      <w:bookmarkStart w:name="u756851f8" w:id="13"/>
      <w:r>
        <w:rPr>
          <w:rFonts w:eastAsia="宋体" w:ascii="宋体"/>
        </w:rPr>
        <w:drawing>
          <wp:inline distT="0" distB="0" distL="0" distR="0">
            <wp:extent cx="5842000" cy="134366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526000" cy="4030980"/>
                    </a:xfrm>
                    <a:prstGeom prst="rect">
                      <a:avLst/>
                    </a:prstGeom>
                  </pic:spPr>
                </pic:pic>
              </a:graphicData>
            </a:graphic>
          </wp:inline>
        </w:drawing>
      </w:r>
      <w:bookmarkEnd w:id="13"/>
    </w:p>
    <w:bookmarkEnd w:id="12"/>
    <w:bookmarkStart w:name="u28908682" w:id="14"/>
    <w:p>
      <w:pPr>
        <w:spacing w:after="50" w:line="360" w:lineRule="auto" w:beforeLines="100"/>
        <w:ind w:left="0"/>
        <w:jc w:val="left"/>
      </w:pPr>
      <w:r>
        <w:rPr>
          <w:rFonts w:ascii="宋体" w:hAnsi="Times New Roman" w:eastAsia="宋体"/>
          <w:b w:val="false"/>
          <w:i w:val="false"/>
          <w:color w:val="000000"/>
          <w:sz w:val="22"/>
        </w:rPr>
        <w:t>“136号文”确立的差价结算机制要求运维与电力交易紧密结合，从而实现更大的利益。电力交易的成功不仅依赖于高质量的功率预测数据和对不同电力市场的深入理解，更需要精准的设备调整，以最大化利用</w:t>
      </w:r>
      <w:r>
        <w:rPr>
          <w:rFonts w:ascii="宋体" w:hAnsi="Times New Roman" w:eastAsia="宋体"/>
          <w:b/>
          <w:i w:val="false"/>
          <w:color w:val="5c8d07"/>
          <w:sz w:val="22"/>
        </w:rPr>
        <w:t>峰谷价差</w:t>
      </w:r>
      <w:r>
        <w:rPr>
          <w:rFonts w:ascii="宋体" w:hAnsi="Times New Roman" w:eastAsia="宋体"/>
          <w:b w:val="false"/>
          <w:i w:val="false"/>
          <w:color w:val="000000"/>
          <w:sz w:val="22"/>
        </w:rPr>
        <w:t>最小化项目风险。具备这些协同能力的从业者可以更好地适应市场的变化，为项目带来更多的财务收益。</w:t>
      </w:r>
    </w:p>
    <w:bookmarkEnd w:id="14"/>
    <w:bookmarkStart w:name="u65813ac9" w:id="15"/>
    <w:p>
      <w:pPr>
        <w:spacing w:after="50" w:line="360" w:lineRule="auto" w:beforeLines="100"/>
        <w:ind w:left="0"/>
        <w:jc w:val="left"/>
      </w:pPr>
      <w:bookmarkStart w:name="u8a12ede2" w:id="16"/>
      <w:r>
        <w:rPr>
          <w:rFonts w:eastAsia="宋体" w:ascii="宋体"/>
        </w:rPr>
        <w:drawing>
          <wp:inline distT="0" distB="0" distL="0" distR="0">
            <wp:extent cx="5842000" cy="137285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238133" cy="4050930"/>
                    </a:xfrm>
                    <a:prstGeom prst="rect">
                      <a:avLst/>
                    </a:prstGeom>
                  </pic:spPr>
                </pic:pic>
              </a:graphicData>
            </a:graphic>
          </wp:inline>
        </w:drawing>
      </w:r>
      <w:bookmarkEnd w:id="16"/>
    </w:p>
    <w:bookmarkEnd w:id="15"/>
    <w:bookmarkStart w:name="u1b013abb" w:id="17"/>
    <w:p>
      <w:pPr>
        <w:spacing w:after="50" w:line="360" w:lineRule="auto" w:beforeLines="100"/>
        <w:ind w:left="0"/>
        <w:jc w:val="left"/>
      </w:pPr>
      <w:r>
        <w:rPr>
          <w:rFonts w:ascii="宋体" w:hAnsi="Times New Roman" w:eastAsia="宋体"/>
          <w:b w:val="false"/>
          <w:i w:val="false"/>
          <w:color w:val="000000"/>
          <w:sz w:val="22"/>
        </w:rPr>
        <w:t>随着劳动力成本的上升和投资者对</w:t>
      </w:r>
      <w:r>
        <w:rPr>
          <w:rFonts w:ascii="宋体" w:hAnsi="Times New Roman" w:eastAsia="宋体"/>
          <w:b/>
          <w:i w:val="false"/>
          <w:color w:val="5c8d07"/>
          <w:sz w:val="22"/>
        </w:rPr>
        <w:t>IRR（内部收益率）</w:t>
      </w:r>
      <w:r>
        <w:rPr>
          <w:rFonts w:ascii="宋体" w:hAnsi="Times New Roman" w:eastAsia="宋体"/>
          <w:b w:val="false"/>
          <w:i w:val="false"/>
          <w:color w:val="000000"/>
          <w:sz w:val="22"/>
        </w:rPr>
        <w:t>的严格要求，</w:t>
      </w:r>
      <w:r>
        <w:rPr>
          <w:rFonts w:ascii="宋体" w:hAnsi="Times New Roman" w:eastAsia="宋体"/>
          <w:b/>
          <w:i w:val="false"/>
          <w:color w:val="5c8d07"/>
          <w:sz w:val="22"/>
        </w:rPr>
        <w:t>成本管控</w:t>
      </w:r>
      <w:r>
        <w:rPr>
          <w:rFonts w:ascii="宋体" w:hAnsi="Times New Roman" w:eastAsia="宋体"/>
          <w:b w:val="false"/>
          <w:i w:val="false"/>
          <w:color w:val="000000"/>
          <w:sz w:val="22"/>
        </w:rPr>
        <w:t>成为了运维管理的关键。通过技术创新和优化资源配置，能显著降低成本，如采用无人机巡检、延保套餐等措施，大大降低维护成本，提升长期盈利潜力。</w:t>
      </w:r>
    </w:p>
    <w:bookmarkEnd w:id="17"/>
    <w:bookmarkStart w:name="ue2382a27" w:id="18"/>
    <w:p>
      <w:pPr>
        <w:spacing w:after="50" w:line="360" w:lineRule="auto" w:beforeLines="100"/>
        <w:ind w:left="0"/>
        <w:jc w:val="left"/>
      </w:pPr>
      <w:bookmarkStart w:name="u6edddd79" w:id="19"/>
      <w:r>
        <w:rPr>
          <w:rFonts w:eastAsia="宋体" w:ascii="宋体"/>
        </w:rPr>
        <w:drawing>
          <wp:inline distT="0" distB="0" distL="0" distR="0">
            <wp:extent cx="5841999" cy="137286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255067" cy="4054925"/>
                    </a:xfrm>
                    <a:prstGeom prst="rect">
                      <a:avLst/>
                    </a:prstGeom>
                  </pic:spPr>
                </pic:pic>
              </a:graphicData>
            </a:graphic>
          </wp:inline>
        </w:drawing>
      </w:r>
      <w:bookmarkEnd w:id="19"/>
    </w:p>
    <w:bookmarkEnd w:id="18"/>
    <w:bookmarkStart w:name="u03fabec9" w:id="20"/>
    <w:p>
      <w:pPr>
        <w:spacing w:after="50" w:line="360" w:lineRule="auto" w:beforeLines="100"/>
        <w:ind w:left="0"/>
        <w:jc w:val="left"/>
      </w:pPr>
      <w:r>
        <w:rPr>
          <w:rFonts w:ascii="宋体" w:hAnsi="Times New Roman" w:eastAsia="宋体"/>
          <w:b w:val="false"/>
          <w:i w:val="false"/>
          <w:color w:val="000000"/>
          <w:sz w:val="22"/>
        </w:rPr>
        <w:t>当前，光伏运维行业的瓶颈在于“</w:t>
      </w:r>
      <w:r>
        <w:rPr>
          <w:rFonts w:ascii="宋体" w:hAnsi="Times New Roman" w:eastAsia="宋体"/>
          <w:b/>
          <w:i w:val="false"/>
          <w:color w:val="5c8d07"/>
          <w:sz w:val="22"/>
        </w:rPr>
        <w:t>复合型人才</w:t>
      </w:r>
      <w:r>
        <w:rPr>
          <w:rFonts w:ascii="宋体" w:hAnsi="Times New Roman" w:eastAsia="宋体"/>
          <w:b w:val="false"/>
          <w:i w:val="false"/>
          <w:color w:val="000000"/>
          <w:sz w:val="22"/>
        </w:rPr>
        <w:t>”的匮乏。随着新增装机的逐步步入运维期，企业对具备丰富综台能力的从业者的竞争将日趋激烈，薪资与职业发展机会将会逐步扩大。只有从业者能够不断充实政策解读、设备故障处理、电力交易协同和成本管控等核心能力，才能真正抓住行业发展红利，并推动光伏行业从规模扩张向质量效益的高质量发展阶段迈进。</w:t>
      </w:r>
    </w:p>
    <w:bookmarkEnd w:id="20"/>
    <w:bookmarkStart w:name="XrWf5" w:id="21"/>
    <w:p>
      <w:pPr>
        <w:pStyle w:val="Heading4"/>
        <w:spacing w:after="50" w:line="360" w:lineRule="auto" w:beforeLines="100"/>
        <w:ind w:left="0"/>
        <w:jc w:val="left"/>
      </w:pPr>
      <w:bookmarkStart w:name="udb66cea2" w:id="22"/>
      <w:r>
        <w:rPr>
          <w:rFonts w:eastAsia="宋体" w:ascii="宋体"/>
        </w:rPr>
        <w:drawing>
          <wp:inline distT="0" distB="0" distL="0" distR="0">
            <wp:extent cx="5842000" cy="36803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385866" cy="1410255"/>
                    </a:xfrm>
                    <a:prstGeom prst="rect">
                      <a:avLst/>
                    </a:prstGeom>
                  </pic:spPr>
                </pic:pic>
              </a:graphicData>
            </a:graphic>
          </wp:inline>
        </w:drawing>
      </w:r>
      <w:bookmarkEnd w:id="22"/>
    </w:p>
    <w:bookmarkEnd w:id="21"/>
    <w:bookmarkStart w:name="ud6eecf67" w:id="23"/>
    <w:p>
      <w:pPr>
        <w:spacing w:after="50" w:line="360" w:lineRule="auto" w:beforeLines="100"/>
        <w:ind w:left="0"/>
        <w:jc w:val="left"/>
      </w:pPr>
      <w:r>
        <w:rPr>
          <w:rFonts w:ascii="宋体" w:hAnsi="Times New Roman" w:eastAsia="宋体"/>
          <w:b w:val="false"/>
          <w:i w:val="false"/>
          <w:color w:val="000000"/>
          <w:sz w:val="22"/>
        </w:rPr>
        <w:t>光伏运维的未来需要更加综合的技能和更高的专业水平。轨物科技专注于物联网与人工智能技术的创新，致力于为制造业企业的</w:t>
      </w:r>
      <w:r>
        <w:rPr>
          <w:rFonts w:ascii="宋体" w:hAnsi="Times New Roman" w:eastAsia="宋体"/>
          <w:b/>
          <w:i w:val="false"/>
          <w:color w:val="5c8d07"/>
          <w:sz w:val="22"/>
        </w:rPr>
        <w:t>数字化转型升级</w:t>
      </w:r>
      <w:r>
        <w:rPr>
          <w:rFonts w:ascii="宋体" w:hAnsi="Times New Roman" w:eastAsia="宋体"/>
          <w:b w:val="false"/>
          <w:i w:val="false"/>
          <w:color w:val="000000"/>
          <w:sz w:val="22"/>
        </w:rPr>
        <w:t>提供一站式智慧运维解决方案。秉持这一理念，我们能够有效赋能企业和从业者，帮助他们跨越能力内卷期，迎接更加光明的未来。</w:t>
      </w:r>
    </w:p>
    <w:bookmarkEnd w:id="23"/>
    <w:bookmarkStart w:name="u46c407a4" w:id="24"/>
    <w:p>
      <w:pPr>
        <w:spacing w:after="50" w:line="360" w:lineRule="auto" w:beforeLines="100"/>
        <w:ind w:left="0"/>
        <w:jc w:val="left"/>
      </w:pPr>
      <w:bookmarkStart w:name="u29bc975e" w:id="25"/>
      <w:r>
        <w:rPr>
          <w:rFonts w:eastAsia="宋体" w:ascii="宋体"/>
        </w:rPr>
        <w:drawing>
          <wp:inline distT="0" distB="0" distL="0" distR="0">
            <wp:extent cx="5842000" cy="282156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77733" cy="8006691"/>
                    </a:xfrm>
                    <a:prstGeom prst="rect">
                      <a:avLst/>
                    </a:prstGeom>
                  </pic:spPr>
                </pic:pic>
              </a:graphicData>
            </a:graphic>
          </wp:inline>
        </w:drawing>
      </w:r>
      <w:bookmarkEnd w:id="25"/>
    </w:p>
    <w:bookmarkEnd w:id="24"/>
    <w:bookmarkStart w:name="u440e7bd1" w:id="26"/>
    <w:p>
      <w:pPr>
        <w:spacing w:after="50" w:line="360" w:lineRule="auto" w:beforeLines="100"/>
        <w:ind w:left="0"/>
        <w:jc w:val="left"/>
      </w:pPr>
      <w:bookmarkStart w:name="u6c44b0f8" w:id="27"/>
      <w:r>
        <w:rPr>
          <w:rFonts w:eastAsia="宋体" w:ascii="宋体"/>
        </w:rPr>
        <w:drawing>
          <wp:inline distT="0" distB="0" distL="0" distR="0">
            <wp:extent cx="5841999" cy="328896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631333" cy="7674253"/>
                    </a:xfrm>
                    <a:prstGeom prst="rect">
                      <a:avLst/>
                    </a:prstGeom>
                  </pic:spPr>
                </pic:pic>
              </a:graphicData>
            </a:graphic>
          </wp:inline>
        </w:drawing>
      </w:r>
      <w:bookmarkEnd w:id="27"/>
    </w:p>
    <w:bookmarkEnd w:id="26"/>
    <w:bookmarkStart w:name="ub25d1623" w:id="28"/>
    <w:p>
      <w:pPr>
        <w:spacing w:after="50" w:line="360" w:lineRule="auto" w:beforeLines="100"/>
        <w:ind w:left="0"/>
        <w:jc w:val="left"/>
      </w:pPr>
      <w:bookmarkStart w:name="u0acd94bd" w:id="29"/>
      <w:r>
        <w:rPr>
          <w:rFonts w:eastAsia="宋体" w:ascii="宋体"/>
        </w:rPr>
        <w:drawing>
          <wp:inline distT="0" distB="0" distL="0" distR="0">
            <wp:extent cx="5842000" cy="4848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487466" cy="1866421"/>
                    </a:xfrm>
                    <a:prstGeom prst="rect">
                      <a:avLst/>
                    </a:prstGeom>
                  </pic:spPr>
                </pic:pic>
              </a:graphicData>
            </a:graphic>
          </wp:inline>
        </w:drawing>
      </w:r>
      <w:bookmarkEnd w:id="29"/>
    </w:p>
    <w:bookmarkEnd w:id="28"/>
    <w:bookmarkStart w:name="ufc5e50bf" w:id="30"/>
    <w:p>
      <w:pPr>
        <w:spacing w:after="50" w:line="360" w:lineRule="auto" w:beforeLines="100"/>
        <w:ind w:left="0"/>
        <w:jc w:val="left"/>
      </w:pPr>
      <w:bookmarkStart w:name="ud22f0f6d" w:id="31"/>
      <w:r>
        <w:rPr>
          <w:rFonts w:eastAsia="宋体" w:ascii="宋体"/>
        </w:rPr>
        <w:drawing>
          <wp:inline distT="0" distB="0" distL="0" distR="0">
            <wp:extent cx="5842000" cy="44399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8319063" cy="11272244"/>
                    </a:xfrm>
                    <a:prstGeom prst="rect">
                      <a:avLst/>
                    </a:prstGeom>
                  </pic:spPr>
                </pic:pic>
              </a:graphicData>
            </a:graphic>
          </wp:inline>
        </w:drawing>
      </w:r>
      <w:bookmarkEnd w:id="31"/>
    </w:p>
    <w:bookmarkEnd w:id="30"/>
    <w:bookmarkStart w:name="u3464b5a6" w:id="32"/>
    <w:p>
      <w:pPr>
        <w:spacing w:after="50" w:line="360" w:lineRule="auto" w:beforeLines="100"/>
        <w:ind w:left="0"/>
        <w:jc w:val="left"/>
      </w:pPr>
      <w:bookmarkStart w:name="u83548a65" w:id="33"/>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804800" cy="14419704"/>
                    </a:xfrm>
                    <a:prstGeom prst="rect">
                      <a:avLst/>
                    </a:prstGeom>
                  </pic:spPr>
                </pic:pic>
              </a:graphicData>
            </a:graphic>
          </wp:inline>
        </w:drawing>
      </w:r>
      <w:bookmarkEnd w:id="33"/>
      <w:bookmarkStart w:name="u3a523ceb" w:id="34"/>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804800" cy="14419704"/>
                    </a:xfrm>
                    <a:prstGeom prst="rect">
                      <a:avLst/>
                    </a:prstGeom>
                  </pic:spPr>
                </pic:pic>
              </a:graphicData>
            </a:graphic>
          </wp:inline>
        </w:drawing>
      </w:r>
      <w:bookmarkEnd w:id="34"/>
      <w:bookmarkStart w:name="u824050c9" w:id="35"/>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804800" cy="14419704"/>
                    </a:xfrm>
                    <a:prstGeom prst="rect">
                      <a:avLst/>
                    </a:prstGeom>
                  </pic:spPr>
                </pic:pic>
              </a:graphicData>
            </a:graphic>
          </wp:inline>
        </w:drawing>
      </w:r>
      <w:bookmarkEnd w:id="35"/>
      <w:bookmarkStart w:name="u542f2eb6" w:id="36"/>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804800" cy="14419704"/>
                    </a:xfrm>
                    <a:prstGeom prst="rect">
                      <a:avLst/>
                    </a:prstGeom>
                  </pic:spPr>
                </pic:pic>
              </a:graphicData>
            </a:graphic>
          </wp:inline>
        </w:drawing>
      </w:r>
      <w:bookmarkEnd w:id="36"/>
    </w:p>
    <w:bookmarkEnd w:id="32"/>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file>

<file path=word/settings.xml><?xml version="1.0" encoding="utf-8"?>
<w:setting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11" Target="media/document_image_rId11.png" Type="http://schemas.openxmlformats.org/officeDocument/2006/relationships/image"/><Relationship Id="rId12" Target="media/document_image_rId12.png" Type="http://schemas.openxmlformats.org/officeDocument/2006/relationships/image"/><Relationship Id="rId13" Target="media/document_image_rId13.png" Type="http://schemas.openxmlformats.org/officeDocument/2006/relationships/image"/><Relationship Id="rId14" Target="media/document_image_rId14.png" Type="http://schemas.openxmlformats.org/officeDocument/2006/relationships/image"/><Relationship Id="rId15" Target="media/document_image_rId15.png" Type="http://schemas.openxmlformats.org/officeDocument/2006/relationships/image"/><Relationship Id="rId16" Target="media/document_image_rId16.png" Type="http://schemas.openxmlformats.org/officeDocument/2006/relationships/image"/><Relationship Id="rId17" Target="media/document_image_rId17.png" Type="http://schemas.openxmlformats.org/officeDocument/2006/relationships/image"/><Relationship Id="rId18" Target="media/document_image_rId18.png" Type="http://schemas.openxmlformats.org/officeDocument/2006/relationships/image"/><Relationship Id="rId19" Target="media/document_image_rId19.png" Type="http://schemas.openxmlformats.org/officeDocument/2006/relationships/image"/><Relationship Id="rId2" Target="settings.xml" Type="http://schemas.openxmlformats.org/officeDocument/2006/relationships/settings"/><Relationship Id="rId20" Target="media/document_image_rId20.png" Type="http://schemas.openxmlformats.org/officeDocument/2006/relationships/image"/><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