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vnd.openxmlformats-officedocument.wordprocessingml.document.main+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image/png" PartName="/word/media/document_image_rId4.png"/>
  <Override ContentType="image/png" PartName="/word/media/document_image_rId5.png"/>
  <Override ContentType="image/png" PartName="/word/media/document_image_rId6.png"/>
  <Override ContentType="image/png" PartName="/word/media/document_image_rId7.png"/>
  <Override ContentType="image/png" PartName="/word/media/document_image_rId8.png"/>
  <Override ContentType="image/png" PartName="/word/media/document_image_rId9.png"/>
  <Override ContentType="image/png" PartName="/word/media/document_image_rId10.png"/>
  <Override ContentType="image/png" PartName="/word/media/document_image_rId11.png"/>
  <Override ContentType="image/png" PartName="/word/media/document_image_rId12.png"/>
  <Override ContentType="image/png" PartName="/word/media/document_image_rId13.png"/>
  <Override ContentType="image/png" PartName="/word/media/document_image_rId14.png"/>
  <Override ContentType="image/png" PartName="/word/media/document_image_rId15.png"/>
  <Override ContentType="image/png" PartName="/word/media/document_image_rId16.png"/>
  <Override ContentType="image/png" PartName="/word/media/document_image_rId17.png"/>
  <Override ContentType="image/png" PartName="/word/media/document_image_rId18.png"/>
  <Override ContentType="image/png" PartName="/word/media/document_image_rId19.png"/>
  <Override ContentType="image/png" PartName="/word/media/document_image_rId20.png"/>
  <Override ContentType="image/png" PartName="/word/media/document_image_rId21.png"/>
  <Override ContentType="image/png" PartName="/word/media/document_image_rId22.png"/>
  <Override ContentType="image/png" PartName="/word/media/document_image_rId23.png"/>
  <Override ContentType="image/png" PartName="/word/media/document_image_rId24.png"/>
  <Override ContentType="image/png" PartName="/word/media/document_image_rId25.png"/>
  <Override ContentType="image/png" PartName="/word/media/document_image_rId26.png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body>
    <!-- Created by docx4j 6.1.2 (Apache licensed) using REFERENCE JAXB in Oracle Java 1.8.0_131 on Linux -->
    <w:p>
      <w:pPr>
        <w:pStyle w:val="Heading1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【轨物方案】轨物科技低压综保智慧运维方案：以AIoT重塑电气安全与能效新范式</w:t>
      </w:r>
    </w:p>
    <w:p>
      <w:pPr>
        <w:pStyle w:val="Heading3"/>
        <w:spacing w:after="50" w:line="360" w:lineRule="auto" w:beforeLines="100"/>
        <w:ind w:left="0"/>
        <w:jc w:val="left"/>
      </w:pPr>
      <w:bookmarkStart w:name="AvNqf" w:id="0"/>
      <w:bookmarkStart w:name="uc1b4bf68" w:id="1"/>
      <w:r>
        <w:rPr>
          <w:rFonts w:eastAsia="宋体" w:ascii="宋体"/>
        </w:rPr>
        <w:drawing>
          <wp:inline distT="0" distB="0" distL="0" distR="0">
            <wp:extent cx="5842000" cy="379705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243733" cy="730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  <w:bookmarkStart w:name="u3b80f978" w:id="2"/>
      <w:r>
        <w:rPr>
          <w:rFonts w:eastAsia="宋体" w:ascii="宋体"/>
        </w:rPr>
        <w:drawing>
          <wp:inline distT="0" distB="0" distL="0" distR="0">
            <wp:extent cx="5842000" cy="162407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5927337" cy="266677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"/>
    </w:p>
    <w:bookmarkEnd w:id="0"/>
    <w:bookmarkStart w:name="uc274a7c5" w:id="3"/>
    <w:p>
      <w:pPr>
        <w:spacing w:after="50" w:line="360" w:lineRule="auto" w:beforeLines="100"/>
        <w:ind w:left="0"/>
        <w:jc w:val="left"/>
      </w:pPr>
      <w:bookmarkStart w:name="u6bf5444e" w:id="4"/>
      <w:r>
        <w:rPr>
          <w:rFonts w:eastAsia="宋体" w:ascii="宋体"/>
        </w:rPr>
        <w:drawing>
          <wp:inline distT="0" distB="0" distL="0" distR="0">
            <wp:extent cx="5841999" cy="1308538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771466" cy="1964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4"/>
    </w:p>
    <w:bookmarkEnd w:id="3"/>
    <w:bookmarkStart w:name="uea622840" w:id="5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在制造业数智化转型的浪潮中，低压配电系统作为企业电力系统的“</w:t>
      </w:r>
      <w:r>
        <w:rPr>
          <w:rFonts w:ascii="宋体" w:hAnsi="Times New Roman" w:eastAsia="宋体"/>
          <w:b/>
          <w:i w:val="false"/>
          <w:color w:val="5c8d07"/>
          <w:sz w:val="22"/>
        </w:rPr>
        <w:t>神经末梢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”，其安全性、可靠性与高效性直接关系到生产连续、能源利用成本及整体运营效率。传统低压综合保护装置（综保）在面临复杂工况、海量数据及预测性维护需求时，逐渐显露出功能单一、信息孤岛、依赖人工、预警滞后等痛点。如何让低压综保从“</w:t>
      </w:r>
      <w:r>
        <w:rPr>
          <w:rFonts w:ascii="宋体" w:hAnsi="Times New Roman" w:eastAsia="宋体"/>
          <w:b/>
          <w:i w:val="false"/>
          <w:color w:val="5c8d07"/>
          <w:sz w:val="22"/>
        </w:rPr>
        <w:t>被动保护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”向“</w:t>
      </w:r>
      <w:r>
        <w:rPr>
          <w:rFonts w:ascii="宋体" w:hAnsi="Times New Roman" w:eastAsia="宋体"/>
          <w:b/>
          <w:i w:val="false"/>
          <w:color w:val="5c8d07"/>
          <w:sz w:val="22"/>
        </w:rPr>
        <w:t>主动智能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”演进，成为企业实现精细化管理与数智化升级的关键一环。</w:t>
      </w:r>
    </w:p>
    <w:bookmarkEnd w:id="5"/>
    <w:bookmarkStart w:name="ue3887530" w:id="6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轨物科技，自2010年启航，十余载深耕物联网与人工智能技术创新，以产学研用闭环加速创新成果转化，深度服务制造业企业数智化转型升级。我们深知，低压配电系统的智能化是企业智慧能源管理不可或缺的一环。为此，轨物科技凭借在新能源、电力及装备领域积累的深厚技术底蕴，推出</w:t>
      </w:r>
      <w:r>
        <w:rPr>
          <w:rFonts w:ascii="宋体" w:hAnsi="Times New Roman" w:eastAsia="宋体"/>
          <w:b/>
          <w:i w:val="false"/>
          <w:color w:val="5c8d07"/>
          <w:sz w:val="22"/>
        </w:rPr>
        <w:t>低压综保智慧运维一站式解决方案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，旨在全程赋能企业技术创新与产品升级，让智能化转型之路更简单、更高效、更成功。</w:t>
      </w:r>
    </w:p>
    <w:bookmarkEnd w:id="6"/>
    <w:bookmarkStart w:name="u9301acae" w:id="7"/>
    <w:p>
      <w:pPr>
        <w:spacing w:after="50" w:line="360" w:lineRule="auto" w:beforeLines="100"/>
        <w:ind w:left="0"/>
        <w:jc w:val="left"/>
      </w:pPr>
      <w:bookmarkStart w:name="u43968777" w:id="8"/>
      <w:r>
        <w:rPr>
          <w:rFonts w:eastAsia="宋体" w:ascii="宋体"/>
        </w:rPr>
        <w:drawing>
          <wp:inline distT="0" distB="0" distL="0" distR="0">
            <wp:extent cx="5841999" cy="1308538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771466" cy="1964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8"/>
    </w:p>
    <w:bookmarkEnd w:id="7"/>
    <w:bookmarkStart w:name="ucd471d6c" w:id="9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在探讨解决方案之前，我们必须深刻理解传统低压综保面临的挑战：</w:t>
      </w:r>
    </w:p>
    <w:bookmarkEnd w:id="9"/>
    <w:bookmarkStart w:name="u80812590" w:id="10"/>
    <w:p>
      <w:pPr>
        <w:numPr>
          <w:ilvl w:val="0"/>
          <w:numId w:val="1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5c8d07"/>
          <w:sz w:val="22"/>
        </w:rPr>
        <w:t>“感知弱”：状态盲区多，隐患难察觉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传统方法仅依赖开关量或简单模拟量，对电流/电压波形、谐波、局放、温度等反映设备健康的关键特征（如过负荷趋势、接触不良、绝缘老化、不平衡度）缺乏高精度、全时域感知能力，异常萌芽状态易被忽视。</w:t>
      </w:r>
    </w:p>
    <w:bookmarkEnd w:id="10"/>
    <w:bookmarkStart w:name="ub3b234f4" w:id="11"/>
    <w:p>
      <w:pPr>
        <w:numPr>
          <w:ilvl w:val="0"/>
          <w:numId w:val="1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5c8d07"/>
          <w:sz w:val="22"/>
        </w:rPr>
        <w:t>“诊断难”：告警信息浅，故障溯源慢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告警多为“果”而非“因”。面对复杂的多级继电配合、开关特性变化、线路隐性故障、晃电事件等，缺乏AI驱动的深度特征提取与根因分析能力，导致故障定位耗时长，影响快速恢复。</w:t>
      </w:r>
    </w:p>
    <w:bookmarkEnd w:id="11"/>
    <w:bookmarkStart w:name="ue52656d2" w:id="12"/>
    <w:p>
      <w:pPr>
        <w:numPr>
          <w:ilvl w:val="0"/>
          <w:numId w:val="1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5c8d07"/>
          <w:sz w:val="22"/>
        </w:rPr>
        <w:t>“联动差”：系统孤岛深，协同效率低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综保、电表、环境监测、视频监控等多系统割裂，数据难以融合互通。紧急工况下，无法实现对上下游保护装置、备自投装置、负载管理等的智能协同控制与快速自愈。</w:t>
      </w:r>
    </w:p>
    <w:bookmarkEnd w:id="12"/>
    <w:bookmarkStart w:name="u2cc9a0f1" w:id="13"/>
    <w:p>
      <w:pPr>
        <w:numPr>
          <w:ilvl w:val="0"/>
          <w:numId w:val="1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5c8d07"/>
          <w:sz w:val="22"/>
        </w:rPr>
        <w:t>“运维重”：被动响应勤，价值创造少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过度依赖定期巡检与故障后抢修，计划性差，成本高。缺乏基于设备健康状态（PHM）的预测性维护指导，宝贵的人力资源消耗在低附加值事务，无法聚焦优化和预防。</w:t>
      </w:r>
    </w:p>
    <w:bookmarkEnd w:id="13"/>
    <w:bookmarkStart w:name="uc59841ba" w:id="14"/>
    <w:p>
      <w:pPr>
        <w:spacing w:after="50" w:line="360" w:lineRule="auto" w:beforeLines="100"/>
        <w:ind w:left="0"/>
        <w:jc w:val="left"/>
      </w:pPr>
      <w:bookmarkStart w:name="ueeda427b" w:id="15"/>
      <w:r>
        <w:rPr>
          <w:rFonts w:eastAsia="宋体" w:ascii="宋体"/>
        </w:rPr>
        <w:drawing>
          <wp:inline distT="0" distB="0" distL="0" distR="0">
            <wp:extent cx="5841999" cy="2085524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9896667" cy="7102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5"/>
    </w:p>
    <w:bookmarkEnd w:id="14"/>
    <w:bookmarkStart w:name="ue04224fd" w:id="16"/>
    <w:p>
      <w:pPr>
        <w:spacing w:after="50" w:line="360" w:lineRule="auto" w:beforeLines="100"/>
        <w:ind w:left="0"/>
        <w:jc w:val="left"/>
      </w:pPr>
      <w:bookmarkStart w:name="u584b19cd" w:id="17"/>
      <w:r>
        <w:rPr>
          <w:rFonts w:eastAsia="宋体" w:ascii="宋体"/>
        </w:rPr>
        <w:drawing>
          <wp:inline distT="0" distB="0" distL="0" distR="0">
            <wp:extent cx="5841999" cy="1378638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771466" cy="20699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7"/>
    </w:p>
    <w:bookmarkEnd w:id="16"/>
    <w:bookmarkStart w:name="u9c6cd8df" w:id="18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针对上述痛点，轨物科技低压综保智慧运维方案以“</w:t>
      </w:r>
      <w:r>
        <w:rPr>
          <w:rFonts w:ascii="宋体" w:hAnsi="Times New Roman" w:eastAsia="宋体"/>
          <w:b/>
          <w:i w:val="false"/>
          <w:color w:val="5c8d07"/>
          <w:sz w:val="22"/>
        </w:rPr>
        <w:t>感知互联、智能分析、主动预警、精益管理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”为核心，深度融合物联网（IoT）、人工智能（AI）、大数据分析与边缘计算技术，构建覆盖低压配电系统全生命周期的智能化管理闭环。</w:t>
      </w:r>
    </w:p>
    <w:bookmarkEnd w:id="18"/>
    <w:bookmarkStart w:name="u467928d6" w:id="19"/>
    <w:p>
      <w:pPr>
        <w:spacing w:after="50" w:line="360" w:lineRule="auto" w:beforeLines="100"/>
        <w:ind w:left="0"/>
        <w:jc w:val="left"/>
      </w:pPr>
      <w:bookmarkStart w:name="uf87f1e85" w:id="20"/>
      <w:r>
        <w:rPr>
          <w:rFonts w:eastAsia="宋体" w:ascii="宋体"/>
        </w:rPr>
        <w:drawing>
          <wp:inline distT="0" distB="0" distL="0" distR="0">
            <wp:extent cx="5842000" cy="1308545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9574933" cy="4384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0"/>
    </w:p>
    <w:bookmarkEnd w:id="19"/>
    <w:bookmarkStart w:name="udbd4888c" w:id="21"/>
    <w:p>
      <w:pPr>
        <w:spacing w:after="50" w:line="360" w:lineRule="auto" w:beforeLines="100"/>
        <w:ind w:left="0"/>
        <w:jc w:val="left"/>
      </w:pPr>
      <w:bookmarkStart w:name="uc49a7af3" w:id="22"/>
      <w:r>
        <w:rPr>
          <w:rFonts w:eastAsia="宋体" w:ascii="宋体"/>
        </w:rPr>
        <w:drawing>
          <wp:inline distT="0" distB="0" distL="0" distR="0">
            <wp:extent cx="5841999" cy="2412665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9896667" cy="8217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2"/>
    </w:p>
    <w:bookmarkEnd w:id="21"/>
    <w:bookmarkStart w:name="uf694d1de" w:id="23"/>
    <w:p>
      <w:pPr>
        <w:numPr>
          <w:ilvl w:val="0"/>
          <w:numId w:val="2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5c8d07"/>
          <w:sz w:val="22"/>
        </w:rPr>
        <w:t>全面感知：构建全域数据采集网络</w:t>
      </w:r>
    </w:p>
    <w:bookmarkEnd w:id="23"/>
    <w:bookmarkStart w:name="u9ecafd46" w:id="24"/>
    <w:p>
      <w:pPr>
        <w:numPr>
          <w:ilvl w:val="0"/>
          <w:numId w:val="3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5c8d07"/>
          <w:sz w:val="22"/>
        </w:rPr>
        <w:t>智能终端升级</w:t>
      </w:r>
      <w:r>
        <w:rPr>
          <w:rFonts w:ascii="宋体" w:hAnsi="Times New Roman" w:eastAsia="宋体"/>
          <w:b w:val="false"/>
          <w:i w:val="false"/>
          <w:color w:val="5c8d07"/>
          <w:sz w:val="22"/>
        </w:rPr>
        <w:t>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轨物科技提供具备高精度测量、多参数采集（电流、电压、功率、电能、功率因数、谐波、温度等）、边缘计算能力的智能综保单元，替代传统设备，实现数据“源头活水”。</w:t>
      </w:r>
    </w:p>
    <w:bookmarkEnd w:id="24"/>
    <w:bookmarkStart w:name="u52317ff9" w:id="25"/>
    <w:p>
      <w:pPr>
        <w:spacing w:after="50" w:line="360" w:lineRule="auto" w:beforeLines="100"/>
        <w:ind w:left="0"/>
        <w:jc w:val="left"/>
      </w:pPr>
      <w:bookmarkStart w:name="u6479f6f0" w:id="26"/>
      <w:r>
        <w:rPr>
          <w:rFonts w:eastAsia="宋体" w:ascii="宋体"/>
        </w:rPr>
        <w:drawing>
          <wp:inline distT="0" distB="0" distL="0" distR="0">
            <wp:extent cx="5841999" cy="1927795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9896667" cy="6565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6"/>
    </w:p>
    <w:bookmarkEnd w:id="25"/>
    <w:bookmarkStart w:name="ub31a70be" w:id="27"/>
    <w:p>
      <w:pPr>
        <w:numPr>
          <w:ilvl w:val="0"/>
          <w:numId w:val="4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5c8d07"/>
          <w:sz w:val="22"/>
        </w:rPr>
        <w:t>灵活通信架构</w:t>
      </w:r>
      <w:r>
        <w:rPr>
          <w:rFonts w:ascii="宋体" w:hAnsi="Times New Roman" w:eastAsia="宋体"/>
          <w:b w:val="false"/>
          <w:i w:val="false"/>
          <w:color w:val="5c8d07"/>
          <w:sz w:val="22"/>
        </w:rPr>
        <w:t>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采用有线（工业以太网、光纤）与无线（LoRa、NB-IoT、4G/5G）相结合的通信方式，确保数据传输的稳定性、实时性与全覆盖，打通从设备到云端的“信息高速公路”。</w:t>
      </w:r>
    </w:p>
    <w:bookmarkEnd w:id="27"/>
    <w:bookmarkStart w:name="ub8791e7c" w:id="28"/>
    <w:p>
      <w:pPr>
        <w:numPr>
          <w:ilvl w:val="0"/>
          <w:numId w:val="5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5c8d07"/>
          <w:sz w:val="22"/>
        </w:rPr>
        <w:t>标准化数据接口</w:t>
      </w:r>
      <w:r>
        <w:rPr>
          <w:rFonts w:ascii="宋体" w:hAnsi="Times New Roman" w:eastAsia="宋体"/>
          <w:b w:val="false"/>
          <w:i w:val="false"/>
          <w:color w:val="5c8d07"/>
          <w:sz w:val="22"/>
        </w:rPr>
        <w:t>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支持主流工业协议（Modbus, IEC 61850等，可根据需求定制），实现与不同品牌、型号设备的无缝对接，打破“数据烟囱”。</w:t>
      </w:r>
    </w:p>
    <w:bookmarkEnd w:id="28"/>
    <w:bookmarkStart w:name="u2da92fe9" w:id="29"/>
    <w:p>
      <w:pPr>
        <w:numPr>
          <w:ilvl w:val="0"/>
          <w:numId w:val="6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5c8d07"/>
          <w:sz w:val="22"/>
        </w:rPr>
        <w:t>智能分析：AI算法赋能数据价值挖掘</w:t>
      </w:r>
    </w:p>
    <w:bookmarkEnd w:id="29"/>
    <w:bookmarkStart w:name="uda53308a" w:id="30"/>
    <w:p>
      <w:pPr>
        <w:numPr>
          <w:ilvl w:val="0"/>
          <w:numId w:val="7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5c8d07"/>
          <w:sz w:val="22"/>
        </w:rPr>
        <w:t>边缘智能实时诊断</w:t>
      </w:r>
      <w:r>
        <w:rPr>
          <w:rFonts w:ascii="宋体" w:hAnsi="Times New Roman" w:eastAsia="宋体"/>
          <w:b w:val="false"/>
          <w:i w:val="false"/>
          <w:color w:val="5c8d07"/>
          <w:sz w:val="22"/>
        </w:rPr>
        <w:t>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在终端设备或边缘节点部署轻量化AI算法，实现对过流、短路、漏电、过载、欠压等故障的瞬时识别与精准判断，保护动作更迅速。</w:t>
      </w:r>
    </w:p>
    <w:bookmarkEnd w:id="30"/>
    <w:bookmarkStart w:name="u7648c9ab" w:id="31"/>
    <w:p>
      <w:pPr>
        <w:numPr>
          <w:ilvl w:val="0"/>
          <w:numId w:val="8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5c8d07"/>
          <w:sz w:val="22"/>
        </w:rPr>
        <w:t>云端大数据深度挖掘</w:t>
      </w:r>
      <w:r>
        <w:rPr>
          <w:rFonts w:ascii="宋体" w:hAnsi="Times New Roman" w:eastAsia="宋体"/>
          <w:b w:val="false"/>
          <w:i w:val="false"/>
          <w:color w:val="5c8d07"/>
          <w:sz w:val="22"/>
        </w:rPr>
        <w:t>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汇聚海量运行数据，运用机器学习与深度学习算法，构建设备健康度评估模型、故障预警模型、能效优化模型。</w:t>
      </w:r>
    </w:p>
    <w:bookmarkEnd w:id="31"/>
    <w:bookmarkStart w:name="u8eb031c3" w:id="32"/>
    <w:p>
      <w:pPr>
        <w:numPr>
          <w:ilvl w:val="0"/>
          <w:numId w:val="9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5c8d07"/>
          <w:sz w:val="22"/>
        </w:rPr>
        <w:t>故障预警与诊断</w:t>
      </w:r>
      <w:r>
        <w:rPr>
          <w:rFonts w:ascii="宋体" w:hAnsi="Times New Roman" w:eastAsia="宋体"/>
          <w:b w:val="false"/>
          <w:i w:val="false"/>
          <w:color w:val="5c8d07"/>
          <w:sz w:val="22"/>
        </w:rPr>
        <w:t>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通过历史数据比对、趋势分析，提前识别设备潜在劣化风险（如触头磨损、绝缘老化），实现从“故障维修”向“预测性维护”的跨越。</w:t>
      </w:r>
    </w:p>
    <w:bookmarkEnd w:id="32"/>
    <w:bookmarkStart w:name="ub66f5561" w:id="33"/>
    <w:p>
      <w:pPr>
        <w:numPr>
          <w:ilvl w:val="0"/>
          <w:numId w:val="10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5c8d07"/>
          <w:sz w:val="22"/>
        </w:rPr>
        <w:t>电能质量分析</w:t>
      </w:r>
      <w:r>
        <w:rPr>
          <w:rFonts w:ascii="宋体" w:hAnsi="Times New Roman" w:eastAsia="宋体"/>
          <w:b w:val="false"/>
          <w:i w:val="false"/>
          <w:color w:val="5c8d07"/>
          <w:sz w:val="22"/>
        </w:rPr>
        <w:t>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实时监测谐波、畸变率、不平衡度等指标，定位污染源，提供治理建议，保障电网清洁稳定。</w:t>
      </w:r>
    </w:p>
    <w:bookmarkEnd w:id="33"/>
    <w:bookmarkStart w:name="u3e4f1e82" w:id="34"/>
    <w:p>
      <w:pPr>
        <w:numPr>
          <w:ilvl w:val="0"/>
          <w:numId w:val="11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5c8d07"/>
          <w:sz w:val="22"/>
        </w:rPr>
        <w:t>负荷预测与能效优化</w:t>
      </w:r>
      <w:r>
        <w:rPr>
          <w:rFonts w:ascii="宋体" w:hAnsi="Times New Roman" w:eastAsia="宋体"/>
          <w:b w:val="false"/>
          <w:i w:val="false"/>
          <w:color w:val="5c8d07"/>
          <w:sz w:val="22"/>
        </w:rPr>
        <w:t>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结合生产计划与历史数据，预测负荷变化，优化配电策略，减少峰谷电价差异带来的成本，实现精益化能效管理。</w:t>
      </w:r>
    </w:p>
    <w:bookmarkEnd w:id="34"/>
    <w:bookmarkStart w:name="u99c5df1e" w:id="35"/>
    <w:p>
      <w:pPr>
        <w:spacing w:after="50" w:line="360" w:lineRule="auto" w:beforeLines="100"/>
        <w:ind w:left="0"/>
        <w:jc w:val="left"/>
      </w:pPr>
      <w:bookmarkStart w:name="u80b01cd3" w:id="36"/>
      <w:r>
        <w:rPr>
          <w:rFonts w:eastAsia="宋体" w:ascii="宋体"/>
        </w:rPr>
        <w:drawing>
          <wp:inline distT="0" distB="0" distL="0" distR="0">
            <wp:extent cx="5841999" cy="216151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9998267" cy="7399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36"/>
    </w:p>
    <w:bookmarkEnd w:id="35"/>
    <w:bookmarkStart w:name="uc9bdc51e" w:id="37"/>
    <w:p>
      <w:pPr>
        <w:numPr>
          <w:ilvl w:val="0"/>
          <w:numId w:val="12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5c8d07"/>
          <w:sz w:val="22"/>
        </w:rPr>
        <w:t>主动预警与精益管理：提升运维决策能力</w:t>
      </w:r>
    </w:p>
    <w:bookmarkEnd w:id="37"/>
    <w:bookmarkStart w:name="uc8cf42a4" w:id="38"/>
    <w:p>
      <w:pPr>
        <w:numPr>
          <w:ilvl w:val="0"/>
          <w:numId w:val="13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5c8d07"/>
          <w:sz w:val="22"/>
        </w:rPr>
        <w:t>多级告警机制</w:t>
      </w:r>
      <w:r>
        <w:rPr>
          <w:rFonts w:ascii="宋体" w:hAnsi="Times New Roman" w:eastAsia="宋体"/>
          <w:b w:val="false"/>
          <w:i w:val="false"/>
          <w:color w:val="5c8d07"/>
          <w:sz w:val="22"/>
        </w:rPr>
        <w:t>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支持本地声光告警、平台APP推送、短信/邮件通知等多种告警方式，告警信息分级分类，关键故障第一时间送达责任人。</w:t>
      </w:r>
    </w:p>
    <w:bookmarkEnd w:id="38"/>
    <w:bookmarkStart w:name="u5bc80a34" w:id="39"/>
    <w:p>
      <w:pPr>
        <w:numPr>
          <w:ilvl w:val="0"/>
          <w:numId w:val="14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5c8d07"/>
          <w:sz w:val="22"/>
        </w:rPr>
        <w:t>可视化运维平台</w:t>
      </w:r>
      <w:r>
        <w:rPr>
          <w:rFonts w:ascii="宋体" w:hAnsi="Times New Roman" w:eastAsia="宋体"/>
          <w:b w:val="false"/>
          <w:i w:val="false"/>
          <w:color w:val="5c8d07"/>
          <w:sz w:val="22"/>
        </w:rPr>
        <w:t>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打造直观的数字孪生界面，实时展示低压配电系统拓扑结构、设备状态、实时参数、告警信息、历史曲线等，让“一屏观全局”成为现实。</w:t>
      </w:r>
    </w:p>
    <w:bookmarkEnd w:id="39"/>
    <w:bookmarkStart w:name="u827dac17" w:id="40"/>
    <w:p>
      <w:pPr>
        <w:numPr>
          <w:ilvl w:val="0"/>
          <w:numId w:val="15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5c8d07"/>
          <w:sz w:val="22"/>
        </w:rPr>
        <w:t>远程运维与控制</w:t>
      </w:r>
      <w:r>
        <w:rPr>
          <w:rFonts w:ascii="宋体" w:hAnsi="Times New Roman" w:eastAsia="宋体"/>
          <w:b w:val="false"/>
          <w:i w:val="false"/>
          <w:color w:val="5c8d07"/>
          <w:sz w:val="22"/>
        </w:rPr>
        <w:t>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授权用户可通过平台远程设备参数设定、复归操作、软件升级，极大提升运维效率，减少现场干预。</w:t>
      </w:r>
    </w:p>
    <w:bookmarkEnd w:id="40"/>
    <w:bookmarkStart w:name="u5be1889f" w:id="41"/>
    <w:p>
      <w:pPr>
        <w:numPr>
          <w:ilvl w:val="0"/>
          <w:numId w:val="16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5c8d07"/>
          <w:sz w:val="22"/>
        </w:rPr>
        <w:t>资产全生命周期管理</w:t>
      </w:r>
      <w:r>
        <w:rPr>
          <w:rFonts w:ascii="宋体" w:hAnsi="Times New Roman" w:eastAsia="宋体"/>
          <w:b w:val="false"/>
          <w:i w:val="false"/>
          <w:color w:val="5c8d07"/>
          <w:sz w:val="22"/>
        </w:rPr>
        <w:t>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记录设备从安装、运行、维护到报废的全过程数据，辅助企业优化采购计划、维护周期，延长设备寿命，提升资产回报率。</w:t>
      </w:r>
    </w:p>
    <w:bookmarkEnd w:id="41"/>
    <w:bookmarkStart w:name="u2879ff44" w:id="42"/>
    <w:p>
      <w:pPr>
        <w:numPr>
          <w:ilvl w:val="0"/>
          <w:numId w:val="17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5c8d07"/>
          <w:sz w:val="22"/>
        </w:rPr>
        <w:t>无缝集成：赋能企业数智化生态</w:t>
      </w:r>
    </w:p>
    <w:bookmarkEnd w:id="42"/>
    <w:bookmarkStart w:name="u905c2da6" w:id="43"/>
    <w:p>
      <w:pPr>
        <w:numPr>
          <w:ilvl w:val="0"/>
          <w:numId w:val="18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5c8d07"/>
          <w:sz w:val="22"/>
        </w:rPr>
        <w:t>开放平台架构</w:t>
      </w:r>
      <w:r>
        <w:rPr>
          <w:rFonts w:ascii="宋体" w:hAnsi="Times New Roman" w:eastAsia="宋体"/>
          <w:b w:val="false"/>
          <w:i w:val="false"/>
          <w:color w:val="5c8d07"/>
          <w:sz w:val="22"/>
        </w:rPr>
        <w:t>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轨物方案预留丰富的API接口，轻松与企业现有的MES、ERP、EMS、能源管理系统对接，实现数据共享与业务协同，成为企业数智化转型的有机组成部分。</w:t>
      </w:r>
    </w:p>
    <w:bookmarkEnd w:id="43"/>
    <w:bookmarkStart w:name="u2afcd330" w:id="44"/>
    <w:p>
      <w:pPr>
        <w:numPr>
          <w:ilvl w:val="0"/>
          <w:numId w:val="19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5c8d07"/>
          <w:sz w:val="22"/>
        </w:rPr>
        <w:t>定制化服务</w:t>
      </w:r>
      <w:r>
        <w:rPr>
          <w:rFonts w:ascii="宋体" w:hAnsi="Times New Roman" w:eastAsia="宋体"/>
          <w:b w:val="false"/>
          <w:i w:val="false"/>
          <w:color w:val="5c8d07"/>
          <w:sz w:val="22"/>
        </w:rPr>
        <w:t>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针对不同行业（如新能源、电力、高端制造、数据中心等）的特殊需求，提供灵活的功能模块配置与定制化开发服务，确保方案精准落地。</w:t>
      </w:r>
    </w:p>
    <w:bookmarkEnd w:id="44"/>
    <w:bookmarkStart w:name="uded19922" w:id="45"/>
    <w:p>
      <w:pPr>
        <w:spacing w:after="50" w:line="360" w:lineRule="auto" w:beforeLines="100"/>
        <w:ind w:left="0"/>
        <w:jc w:val="left"/>
      </w:pPr>
      <w:bookmarkStart w:name="u81bf5cba" w:id="46"/>
      <w:r>
        <w:rPr>
          <w:rFonts w:eastAsia="宋体" w:ascii="宋体"/>
        </w:rPr>
        <w:drawing>
          <wp:inline distT="0" distB="0" distL="0" distR="0">
            <wp:extent cx="5842000" cy="1583171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0032133" cy="5428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46"/>
    </w:p>
    <w:bookmarkEnd w:id="45"/>
    <w:bookmarkStart w:name="u9d39458b" w:id="47"/>
    <w:p>
      <w:pPr>
        <w:spacing w:after="50" w:line="360" w:lineRule="auto" w:beforeLines="100"/>
        <w:ind w:left="0"/>
        <w:jc w:val="left"/>
      </w:pPr>
      <w:bookmarkStart w:name="uafa601ab" w:id="48"/>
      <w:r>
        <w:rPr>
          <w:rFonts w:eastAsia="宋体" w:ascii="宋体"/>
        </w:rPr>
        <w:drawing>
          <wp:inline distT="0" distB="0" distL="0" distR="0">
            <wp:extent cx="5841999" cy="134943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8771466" cy="20261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48"/>
    </w:p>
    <w:bookmarkEnd w:id="47"/>
    <w:bookmarkStart w:name="u74bb3480" w:id="49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轨物科技低压综保智慧运维方案，不仅仅是一套技术产品，更是企业实现电气管理智能化的战略伙伴。我们致力于：</w:t>
      </w:r>
    </w:p>
    <w:bookmarkEnd w:id="49"/>
    <w:bookmarkStart w:name="u230096a4" w:id="50"/>
    <w:p>
      <w:pPr>
        <w:numPr>
          <w:ilvl w:val="0"/>
          <w:numId w:val="20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5c8d07"/>
          <w:sz w:val="22"/>
        </w:rPr>
        <w:t>提升安全性</w:t>
      </w:r>
      <w:r>
        <w:rPr>
          <w:rFonts w:ascii="宋体" w:hAnsi="Times New Roman" w:eastAsia="宋体"/>
          <w:b w:val="false"/>
          <w:i w:val="false"/>
          <w:color w:val="5c8d07"/>
          <w:sz w:val="22"/>
        </w:rPr>
        <w:t>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主动预警，精准防护，最大限度减少电气火灾及人身安全事故，保障企业生产安全。</w:t>
      </w:r>
    </w:p>
    <w:bookmarkEnd w:id="50"/>
    <w:bookmarkStart w:name="u028e5187" w:id="51"/>
    <w:p>
      <w:pPr>
        <w:numPr>
          <w:ilvl w:val="0"/>
          <w:numId w:val="21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5c8d07"/>
          <w:sz w:val="22"/>
        </w:rPr>
        <w:t>增强可靠性</w:t>
      </w:r>
      <w:r>
        <w:rPr>
          <w:rFonts w:ascii="宋体" w:hAnsi="Times New Roman" w:eastAsia="宋体"/>
          <w:b w:val="false"/>
          <w:i w:val="false"/>
          <w:color w:val="5c8d07"/>
          <w:sz w:val="22"/>
        </w:rPr>
        <w:t>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预测性维护，减少非计划停机，确保生产连续性，提升设备综合效率（OEE）。</w:t>
      </w:r>
    </w:p>
    <w:bookmarkEnd w:id="51"/>
    <w:bookmarkStart w:name="u8ca4538e" w:id="52"/>
    <w:p>
      <w:pPr>
        <w:numPr>
          <w:ilvl w:val="0"/>
          <w:numId w:val="22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5c8d07"/>
          <w:sz w:val="22"/>
        </w:rPr>
        <w:t>降本增效</w:t>
      </w:r>
      <w:r>
        <w:rPr>
          <w:rFonts w:ascii="宋体" w:hAnsi="Times New Roman" w:eastAsia="宋体"/>
          <w:b w:val="false"/>
          <w:i w:val="false"/>
          <w:color w:val="5c8d07"/>
          <w:sz w:val="22"/>
        </w:rPr>
        <w:t>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优化能效，降低线损，减少运维成本与故障损失，直接创造经济效益。</w:t>
      </w:r>
    </w:p>
    <w:bookmarkEnd w:id="52"/>
    <w:bookmarkStart w:name="u43cc60ed" w:id="53"/>
    <w:p>
      <w:pPr>
        <w:numPr>
          <w:ilvl w:val="0"/>
          <w:numId w:val="23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5c8d07"/>
          <w:sz w:val="22"/>
        </w:rPr>
        <w:t>辅助决策</w:t>
      </w:r>
      <w:r>
        <w:rPr>
          <w:rFonts w:ascii="宋体" w:hAnsi="Times New Roman" w:eastAsia="宋体"/>
          <w:b w:val="false"/>
          <w:i w:val="false"/>
          <w:color w:val="5c8d07"/>
          <w:sz w:val="22"/>
        </w:rPr>
        <w:t>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提供数据驱动的洞察报告，支持管理层科学决策，推动管理模式升级。</w:t>
      </w:r>
    </w:p>
    <w:bookmarkEnd w:id="53"/>
    <w:bookmarkStart w:name="u07c6aa7f" w:id="54"/>
    <w:p>
      <w:pPr>
        <w:numPr>
          <w:ilvl w:val="0"/>
          <w:numId w:val="24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5c8d07"/>
          <w:sz w:val="22"/>
        </w:rPr>
        <w:t>平滑升级</w:t>
      </w:r>
      <w:r>
        <w:rPr>
          <w:rFonts w:ascii="宋体" w:hAnsi="Times New Roman" w:eastAsia="宋体"/>
          <w:b w:val="false"/>
          <w:i w:val="false"/>
          <w:color w:val="5c8d07"/>
          <w:sz w:val="22"/>
        </w:rPr>
        <w:t>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模块化设计，保护用户已有投资，支持分期、分步实施，降低转型风险。</w:t>
      </w:r>
    </w:p>
    <w:bookmarkEnd w:id="54"/>
    <w:bookmarkStart w:name="ua6f5cdd9" w:id="55"/>
    <w:p>
      <w:pPr>
        <w:spacing w:after="50" w:line="360" w:lineRule="auto" w:beforeLines="100"/>
        <w:ind w:left="0"/>
        <w:jc w:val="left"/>
      </w:pPr>
      <w:bookmarkStart w:name="u178e97a2" w:id="56"/>
      <w:r>
        <w:rPr>
          <w:rFonts w:eastAsia="宋体" w:ascii="宋体"/>
        </w:rPr>
        <w:drawing>
          <wp:inline distT="0" distB="0" distL="0" distR="0">
            <wp:extent cx="5842000" cy="1933611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9828933" cy="65630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56"/>
    </w:p>
    <w:bookmarkEnd w:id="55"/>
    <w:bookmarkStart w:name="ud4fdfeeb" w:id="57"/>
    <w:p>
      <w:pPr>
        <w:spacing w:after="50" w:line="360" w:lineRule="auto" w:beforeLines="100"/>
        <w:ind w:left="0"/>
        <w:jc w:val="left"/>
      </w:pPr>
      <w:bookmarkStart w:name="u4ef8fa99" w:id="58"/>
      <w:r>
        <w:rPr>
          <w:rFonts w:eastAsia="宋体" w:ascii="宋体"/>
        </w:rPr>
        <w:drawing>
          <wp:inline distT="0" distB="0" distL="0" distR="0">
            <wp:extent cx="5841999" cy="216151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9998267" cy="7399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58"/>
    </w:p>
    <w:bookmarkEnd w:id="57"/>
    <w:bookmarkStart w:name="ubaced06a" w:id="59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正如轨物科技“2010-2025创新”所承诺的，我们始终坚持以客户为中心，以技术创新为驱动，通过“</w:t>
      </w:r>
      <w:r>
        <w:rPr>
          <w:rFonts w:ascii="宋体" w:hAnsi="Times New Roman" w:eastAsia="宋体"/>
          <w:b/>
          <w:i w:val="false"/>
          <w:color w:val="5c8d07"/>
          <w:sz w:val="22"/>
        </w:rPr>
        <w:t>产学研用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”闭环模式，确保方案的前沿性与实用性。从方案规划、部署实施到持续运维，轨物科技提供“</w:t>
      </w:r>
      <w:r>
        <w:rPr>
          <w:rFonts w:ascii="宋体" w:hAnsi="Times New Roman" w:eastAsia="宋体"/>
          <w:b/>
          <w:i w:val="false"/>
          <w:color w:val="5c8d07"/>
          <w:sz w:val="22"/>
        </w:rPr>
        <w:t>全程陪伴式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”服务，让企业在低压配电系统的智能化转型中，走得更稳、更快、更远。</w:t>
      </w:r>
    </w:p>
    <w:bookmarkEnd w:id="59"/>
    <w:bookmarkStart w:name="ue726dd6a" w:id="60"/>
    <w:p>
      <w:pPr>
        <w:spacing w:after="50" w:line="360" w:lineRule="auto" w:beforeLines="100"/>
        <w:ind w:left="0"/>
        <w:jc w:val="left"/>
      </w:pPr>
      <w:bookmarkStart w:name="u33477d38" w:id="61"/>
      <w:r>
        <w:rPr>
          <w:rFonts w:eastAsia="宋体" w:ascii="宋体"/>
        </w:rPr>
        <w:drawing>
          <wp:inline distT="0" distB="0" distL="0" distR="0">
            <wp:extent cx="5842000" cy="29209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3689734" cy="118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61"/>
    </w:p>
    <w:bookmarkEnd w:id="60"/>
    <w:bookmarkStart w:name="uc05dee98" w:id="62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低压配电系统的智能化，是制造业企业数智化升级的基石。轨物科技凭借十五年深耕的技术积淀与对行业趋势的深刻洞察，正通过创新的低压综保智慧运维方案，重塑电气安全与能效管理的新范式。我们相信，通过轨物科技的赋能，企业能够轻松驾驭低压配电系统的复杂性，化挑战为机遇，在激烈的市场竞争中，构建起坚实可靠的智能电力基石，驶向数智化成功的彼岸。</w:t>
      </w:r>
    </w:p>
    <w:bookmarkEnd w:id="62"/>
    <w:bookmarkStart w:name="u65f5f81c" w:id="63"/>
    <w:p>
      <w:pPr>
        <w:spacing w:after="50" w:line="360" w:lineRule="auto" w:beforeLines="100"/>
        <w:ind w:left="0"/>
        <w:jc w:val="left"/>
      </w:pPr>
      <w:bookmarkStart w:name="udcadfac3" w:id="64"/>
      <w:r>
        <w:rPr>
          <w:rFonts w:eastAsia="宋体" w:ascii="宋体"/>
        </w:rPr>
        <w:drawing>
          <wp:inline distT="0" distB="0" distL="0" distR="0">
            <wp:extent cx="5842000" cy="2786611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6730133" cy="7980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64"/>
    </w:p>
    <w:bookmarkEnd w:id="63"/>
    <w:bookmarkStart w:name="u73677735" w:id="65"/>
    <w:p>
      <w:pPr>
        <w:spacing w:after="50" w:line="360" w:lineRule="auto" w:beforeLines="100"/>
        <w:ind w:left="0"/>
        <w:jc w:val="left"/>
      </w:pPr>
      <w:bookmarkStart w:name="u6c44b0f8" w:id="66"/>
      <w:r>
        <w:rPr>
          <w:rFonts w:eastAsia="宋体" w:ascii="宋体"/>
        </w:rPr>
        <w:drawing>
          <wp:inline distT="0" distB="0" distL="0" distR="0">
            <wp:extent cx="5841999" cy="3288965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3631333" cy="76742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66"/>
      <w:bookmarkStart w:name="u3c7ebc27" w:id="67"/>
      <w:r>
        <w:rPr>
          <w:rFonts w:eastAsia="宋体" w:ascii="宋体"/>
        </w:rPr>
        <w:drawing>
          <wp:inline distT="0" distB="0" distL="0" distR="0">
            <wp:extent cx="5842000" cy="484875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2487466" cy="1866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67"/>
    </w:p>
    <w:bookmarkEnd w:id="65"/>
    <w:bookmarkStart w:name="u4a7fb59e" w:id="68"/>
    <w:p>
      <w:pPr>
        <w:spacing w:after="50" w:line="360" w:lineRule="auto" w:beforeLines="100"/>
        <w:ind w:left="0"/>
        <w:jc w:val="left"/>
      </w:pPr>
      <w:bookmarkStart w:name="u66a04bf9" w:id="69"/>
      <w:r>
        <w:rPr>
          <w:rFonts w:eastAsia="宋体" w:ascii="宋体"/>
        </w:rPr>
        <w:drawing>
          <wp:inline distT="0" distB="0" distL="0" distR="0">
            <wp:extent cx="5842000" cy="443991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48319063" cy="11272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69"/>
    </w:p>
    <w:bookmarkEnd w:id="68"/>
    <w:bookmarkStart w:name="u999d878f" w:id="70"/>
    <w:p>
      <w:pPr>
        <w:spacing w:after="50" w:line="360" w:lineRule="auto" w:beforeLines="100"/>
        <w:ind w:left="0"/>
        <w:jc w:val="left"/>
      </w:pPr>
      <w:bookmarkStart w:name="ub0035f09" w:id="71"/>
      <w:r>
        <w:rPr>
          <w:rFonts w:eastAsia="宋体" w:ascii="宋体"/>
        </w:rPr>
        <w:drawing>
          <wp:inline distT="0" distB="0" distL="0" distR="0">
            <wp:extent cx="5842000" cy="1320275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3804800" cy="14419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71"/>
      <w:bookmarkStart w:name="u430c82ce" w:id="72"/>
      <w:r>
        <w:rPr>
          <w:rFonts w:eastAsia="宋体" w:ascii="宋体"/>
        </w:rPr>
        <w:drawing>
          <wp:inline distT="0" distB="0" distL="0" distR="0">
            <wp:extent cx="5842000" cy="1320275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3804800" cy="14419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72"/>
      <w:bookmarkStart w:name="ubc775039" w:id="73"/>
      <w:r>
        <w:rPr>
          <w:rFonts w:eastAsia="宋体" w:ascii="宋体"/>
        </w:rPr>
        <w:drawing>
          <wp:inline distT="0" distB="0" distL="0" distR="0">
            <wp:extent cx="5842000" cy="1320275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3804800" cy="14419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73"/>
      <w:bookmarkStart w:name="u4ba7833d" w:id="74"/>
      <w:r>
        <w:rPr>
          <w:rFonts w:eastAsia="宋体" w:ascii="宋体"/>
        </w:rPr>
        <w:drawing>
          <wp:inline distT="0" distB="0" distL="0" distR="0">
            <wp:extent cx="5842000" cy="1320275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3804800" cy="14419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74"/>
    </w:p>
    <w:bookmarkEnd w:id="70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abstractNum w:abstractNumId="2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abstractNum w:abstractNumId="3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4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5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6">
    <w:multiLevelType w:val="multilevel"/>
    <w:lvl w:ilvl="0">
      <w:start w:val="2"/>
      <w:numFmt w:val="decimal"/>
      <w:lvlText w:val="%1."/>
      <w:lvlJc w:val="left"/>
      <w:pPr>
        <w:ind w:left="960" w:hanging="360"/>
      </w:pPr>
    </w:lvl>
  </w:abstractNum>
  <w:abstractNum w:abstractNumId="7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8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9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0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2">
    <w:multiLevelType w:val="multilevel"/>
    <w:lvl w:ilvl="0">
      <w:start w:val="3"/>
      <w:numFmt w:val="decimal"/>
      <w:lvlText w:val="%1."/>
      <w:lvlJc w:val="left"/>
      <w:pPr>
        <w:ind w:left="960" w:hanging="360"/>
      </w:pPr>
    </w:lvl>
  </w:abstractNum>
  <w:abstractNum w:abstractNumId="13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4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5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6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7">
    <w:multiLevelType w:val="multilevel"/>
    <w:lvl w:ilvl="0">
      <w:start w:val="4"/>
      <w:numFmt w:val="decimal"/>
      <w:lvlText w:val="%1."/>
      <w:lvlJc w:val="left"/>
      <w:pPr>
        <w:ind w:left="960" w:hanging="360"/>
      </w:pPr>
    </w:lvl>
  </w:abstractNum>
  <w:abstractNum w:abstractNumId="18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9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0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2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3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4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宋体" w:eastAsia="宋体"/>
      <w:b/>
      <w:bCs/>
      <w:color w:val="000000"/>
      <w:sz w:val="4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宋体" w:eastAsia="宋体"/>
      <w:b/>
      <w:bCs/>
      <w:color w:val="000000"/>
      <w:sz w:val="3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宋体" w:eastAsia="宋体"/>
      <w:b/>
      <w:bCs/>
      <w:color w:val="000000"/>
      <w:sz w:val="3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宋体" w:eastAsia="宋体"/>
      <w:b/>
      <w:bCs/>
      <w:color w:val="000000"/>
      <w:sz w:val="30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41CD9"/>
    <w:pPr>
      <w:keepNext/>
      <w:keepLines/>
      <w:spacing w:before="200"/>
      <w:outlineLvl w:val="4"/>
    </w:pPr>
    <w:rPr>
      <w:rFonts w:ascii="宋体" w:eastAsia="宋体"/>
      <w:b/>
      <w:bCs/>
      <w:color w:val="000000"/>
      <w:sz w:val="28"/>
    </w:rPr>
  </w:style>
  <w:style w:type="paragraph" w:styleId="ne-codeblock"/>
</w:style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10" Target="media/document_image_rId10.png" Type="http://schemas.openxmlformats.org/officeDocument/2006/relationships/image"/><Relationship Id="rId11" Target="media/document_image_rId11.png" Type="http://schemas.openxmlformats.org/officeDocument/2006/relationships/image"/><Relationship Id="rId12" Target="media/document_image_rId12.png" Type="http://schemas.openxmlformats.org/officeDocument/2006/relationships/image"/><Relationship Id="rId13" Target="media/document_image_rId13.png" Type="http://schemas.openxmlformats.org/officeDocument/2006/relationships/image"/><Relationship Id="rId14" Target="media/document_image_rId14.png" Type="http://schemas.openxmlformats.org/officeDocument/2006/relationships/image"/><Relationship Id="rId15" Target="media/document_image_rId15.png" Type="http://schemas.openxmlformats.org/officeDocument/2006/relationships/image"/><Relationship Id="rId16" Target="media/document_image_rId16.png" Type="http://schemas.openxmlformats.org/officeDocument/2006/relationships/image"/><Relationship Id="rId17" Target="media/document_image_rId17.png" Type="http://schemas.openxmlformats.org/officeDocument/2006/relationships/image"/><Relationship Id="rId18" Target="media/document_image_rId18.png" Type="http://schemas.openxmlformats.org/officeDocument/2006/relationships/image"/><Relationship Id="rId19" Target="media/document_image_rId19.png" Type="http://schemas.openxmlformats.org/officeDocument/2006/relationships/image"/><Relationship Id="rId2" Target="settings.xml" Type="http://schemas.openxmlformats.org/officeDocument/2006/relationships/settings"/><Relationship Id="rId20" Target="media/document_image_rId20.png" Type="http://schemas.openxmlformats.org/officeDocument/2006/relationships/image"/><Relationship Id="rId21" Target="media/document_image_rId21.png" Type="http://schemas.openxmlformats.org/officeDocument/2006/relationships/image"/><Relationship Id="rId22" Target="media/document_image_rId22.png" Type="http://schemas.openxmlformats.org/officeDocument/2006/relationships/image"/><Relationship Id="rId23" Target="media/document_image_rId23.png" Type="http://schemas.openxmlformats.org/officeDocument/2006/relationships/image"/><Relationship Id="rId24" Target="media/document_image_rId24.png" Type="http://schemas.openxmlformats.org/officeDocument/2006/relationships/image"/><Relationship Id="rId25" Target="media/document_image_rId25.png" Type="http://schemas.openxmlformats.org/officeDocument/2006/relationships/image"/><Relationship Id="rId26" Target="media/document_image_rId26.png" Type="http://schemas.openxmlformats.org/officeDocument/2006/relationships/image"/><Relationship Id="rId3" Target="numbering.xml" Type="http://schemas.openxmlformats.org/officeDocument/2006/relationships/numbering"/><Relationship Id="rId4" Target="media/document_image_rId4.png" Type="http://schemas.openxmlformats.org/officeDocument/2006/relationships/image"/><Relationship Id="rId5" Target="media/document_image_rId5.png" Type="http://schemas.openxmlformats.org/officeDocument/2006/relationships/image"/><Relationship Id="rId6" Target="media/document_image_rId6.png" Type="http://schemas.openxmlformats.org/officeDocument/2006/relationships/image"/><Relationship Id="rId7" Target="media/document_image_rId7.png" Type="http://schemas.openxmlformats.org/officeDocument/2006/relationships/image"/><Relationship Id="rId8" Target="media/document_image_rId8.png" Type="http://schemas.openxmlformats.org/officeDocument/2006/relationships/image"/><Relationship Id="rId9" Target="media/document_image_rId9.png" Type="http://schemas.openxmlformats.org/officeDocument/2006/relationships/image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