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【轨物洞见】光伏产业破局之路：技术突围、政策赋能与全球化布局</w:t>
      </w:r>
    </w:p>
    <w:p>
      <w:pPr>
        <w:spacing w:after="50" w:line="360" w:lineRule="auto" w:beforeLines="100"/>
        <w:ind w:left="0"/>
        <w:jc w:val="left"/>
      </w:pPr>
      <w:bookmarkStart w:name="uda368db7" w:id="0"/>
      <w:bookmarkStart w:name="uf764cba0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bookmarkStart w:name="u84891859" w:id="2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0"/>
    <w:bookmarkStart w:name="udcd109c8" w:id="3"/>
    <w:p>
      <w:pPr>
        <w:spacing w:after="50" w:line="360" w:lineRule="auto" w:beforeLines="100"/>
        <w:ind w:left="0"/>
        <w:jc w:val="left"/>
      </w:pPr>
      <w:bookmarkStart w:name="ued6f957d" w:id="4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f9927b8a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中国光伏行业在政策驱动与技术创新的双重加持下，正以惊人的速度重塑全球能源格局。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2024年上半年，中国光伏行业迎来"</w:t>
      </w:r>
      <w:r>
        <w:rPr>
          <w:rFonts w:ascii="宋体" w:hAnsi="Times New Roman" w:eastAsia="宋体"/>
          <w:b/>
          <w:i w:val="false"/>
          <w:color w:val="07787e"/>
          <w:sz w:val="21"/>
        </w:rPr>
        <w:t>质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""</w:t>
      </w:r>
      <w:r>
        <w:rPr>
          <w:rFonts w:ascii="宋体" w:hAnsi="Times New Roman" w:eastAsia="宋体"/>
          <w:b/>
          <w:i w:val="false"/>
          <w:color w:val="07787e"/>
          <w:sz w:val="21"/>
        </w:rPr>
        <w:t>量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"双丰收。数据显示，全国光伏多晶硅、硅片、电池、组件产量同比增长均超过30%，组件出口量同比增长近20%，光伏新增装机达102.48GW。这一成绩的取得，不仅源于全球能源转型的宏观驱动，更得益于中国光伏产业链的深度重构与政策精准发力。</w:t>
      </w:r>
    </w:p>
    <w:bookmarkEnd w:id="5"/>
    <w:bookmarkStart w:name="u152cf1e4" w:id="6"/>
    <w:p>
      <w:pPr>
        <w:spacing w:after="50" w:line="360" w:lineRule="auto" w:beforeLines="100"/>
        <w:ind w:left="0"/>
        <w:jc w:val="left"/>
      </w:pPr>
      <w:bookmarkStart w:name="u8fbb0b47" w:id="7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9f56cf6e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中国光伏产业的崛起并非偶然。回首2010年前后，行业曾因“原材料、设备、市场三头在外”而陷入困境。但此后，中国光伏企业通过持续技术攻坚，逐步打破外部依赖，实现从制造到创新的跨越。</w:t>
      </w:r>
    </w:p>
    <w:bookmarkEnd w:id="8"/>
    <w:bookmarkStart w:name="ua2eade94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上游技术革新：颗粒硅引领降碳新范式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颗粒硅技术成为产业链突围的关键。相比传统棒状硅，颗粒硅凭借“体积小、制备工艺简化”特性，大幅降低生产能耗与碳足迹。协鑫科技等企业已实现万吨级量产，其产品在全球市场占有率稳步提升，为中国光伏提供差异化竞争力。</w:t>
      </w:r>
    </w:p>
    <w:bookmarkEnd w:id="9"/>
    <w:bookmarkStart w:name="u9db68d65" w:id="10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中游效率革命：高效电池技术占据全球高地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2023年，全球前十的光伏电池企业均为中国企业，总产能达681.2GW，占全球66%。PERC、TOPCon、HJT等高效技术规模化应用，钙钛矿电池技术则以25%-30%的转换效率刷新行业纪录。这些技术突破不仅提升了产品性能，更通过降本增效支撑了全球能源转型的加速。</w:t>
      </w:r>
    </w:p>
    <w:bookmarkEnd w:id="10"/>
    <w:bookmarkStart w:name="ue00f1699" w:id="11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下游场景创新：从发电到储能的全链延伸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光伏应用市场持续扩张，集中式、工商业及户用装机量同步增长。而随着储能技术与智能微电网的发展，光伏正从单一发电向“发电+储能+智慧运维”一体化模式演进，为产业升级开辟新路径。</w:t>
      </w:r>
    </w:p>
    <w:bookmarkEnd w:id="11"/>
    <w:bookmarkStart w:name="u3c6334b4" w:id="12"/>
    <w:p>
      <w:pPr>
        <w:spacing w:after="50" w:line="360" w:lineRule="auto" w:beforeLines="100"/>
        <w:ind w:left="0"/>
        <w:jc w:val="left"/>
      </w:pPr>
      <w:bookmarkStart w:name="ubdbd766f" w:id="13"/>
      <w:r>
        <w:rPr>
          <w:rFonts w:eastAsia="宋体" w:ascii="宋体"/>
        </w:rPr>
        <w:drawing>
          <wp:inline distT="0" distB="0" distL="0" distR="0">
            <wp:extent cx="5841999" cy="331796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49734" cy="479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99488d65" w:id="14"/>
    <w:p>
      <w:pPr>
        <w:spacing w:after="50" w:line="360" w:lineRule="auto" w:beforeLines="100"/>
        <w:ind w:left="0"/>
        <w:jc w:val="left"/>
      </w:pPr>
      <w:bookmarkStart w:name="u5eb31778" w:id="15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de47bbd3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中国“双碳”战略为中国光伏产业注入强劲动能，但也带来新的考验。政策层面的持续引导，成为行业破局的重要推手。</w:t>
      </w:r>
    </w:p>
    <w:bookmarkEnd w:id="16"/>
    <w:bookmarkStart w:name="uecc9ae12" w:id="17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顶层设计：构建全产业链竞争力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国务院发布的《关于促进光伏产业健康发展的若干意见》明确以技术创新和市场拓展为双引擎，推动行业从“出口依赖”转向“内需驱动”。此后，政策持续完善光伏上网电价、消纳保障等机制，为中国企业打造了稳定的发展环境。</w:t>
      </w:r>
    </w:p>
    <w:bookmarkEnd w:id="17"/>
    <w:bookmarkStart w:name="u11f784b1" w:id="18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全球合作：技术输出与本地化布局并行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中国光伏企业不再满足于国内市场，而是以“本地化+技术输出”模式拓展全球。协鑫科技、天合光能等头部企业加快中东、东南亚等新兴市场的布局，通过“光伏+智能运维”解决方案，帮助海外客户实现产业链本地化，降低度电成本，提升市场渗透率。</w:t>
      </w:r>
    </w:p>
    <w:bookmarkEnd w:id="18"/>
    <w:bookmarkStart w:name="uff1b7b33" w:id="19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减排压力：政策倒逼绿色制造升级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《中国的能源转型》白皮书指出，中国光伏产业通过技术革新推动全球风电、光伏成本下降30%以上。然而，随着国际碳关税政策的推行，中国光伏企业必须加快绿色生产转型，例如颗粒硅技术的降碳优势正成为应对国际规则的重要筹码。</w:t>
      </w:r>
    </w:p>
    <w:bookmarkEnd w:id="19"/>
    <w:bookmarkStart w:name="ubf9998d0" w:id="20"/>
    <w:p>
      <w:pPr>
        <w:spacing w:after="50" w:line="360" w:lineRule="auto" w:beforeLines="100"/>
        <w:ind w:left="0"/>
        <w:jc w:val="left"/>
      </w:pPr>
      <w:bookmarkStart w:name="u09beb90c" w:id="21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3357102b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光伏产业的高增长也暴露出结构性矛盾：上游产能过剩、中游技术迭代加速、下游应用市场分化。如何实现产业链的高效协同成为关键。</w:t>
      </w:r>
    </w:p>
    <w:bookmarkEnd w:id="22"/>
    <w:bookmarkStart w:name="u264b2094" w:id="23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智能制造：破解产能与成本的平衡难题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光伏生产端面临“扩产与降本”的双重压力。轨物科技的智慧运维解决方案，通过物联网与AI技术对生产线进行实时监测与优化，帮助企业在保持产能的同时降低能耗与运维成本。例如，基于数字孪生的多晶硅生产系统可实现工艺参数的精准调控，提升良品率至99%以上。</w:t>
      </w:r>
    </w:p>
    <w:bookmarkEnd w:id="23"/>
    <w:bookmarkStart w:name="u174f152e" w:id="24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场景融合：打造“光伏+数智化”的新生态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光伏应用场景正从传统发电向工业级智慧能源系统延伸。轨物科技以“产学研用”闭环为核心，联合高校及科研机构研发AI驱动的光伏运维平台，通过大数据分析预测设备故障、优化能源调度，为企业提供从产品升级到运营增效的全周期服务。</w:t>
      </w:r>
    </w:p>
    <w:bookmarkEnd w:id="24"/>
    <w:bookmarkStart w:name="ua35d71bc" w:id="25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政策响应：抢占全球能源转型先机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中国光伏企业需更主动参与全球规则制定。例如，通过标准输出（如中国主导的IEC 61215组件测试标准）提升技术话语权，同时以“技术+服务”模式开拓海外市场，将中国智造融入全球绿色能源体系。</w:t>
      </w:r>
    </w:p>
    <w:bookmarkEnd w:id="25"/>
    <w:bookmarkStart w:name="u3d1b563c" w:id="26"/>
    <w:p>
      <w:pPr>
        <w:spacing w:after="50" w:line="360" w:lineRule="auto" w:beforeLines="100"/>
        <w:ind w:left="0"/>
        <w:jc w:val="left"/>
      </w:pPr>
      <w:bookmarkStart w:name="u99381eb2" w:id="27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uccfe0bce" w:id="28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构建光伏行业专属的数字孪生平台</w:t>
      </w:r>
      <w:r>
        <w:rPr>
          <w:rFonts w:ascii="宋体" w:hAnsi="Times New Roman" w:eastAsia="宋体"/>
          <w:b w:val="false"/>
          <w:i w:val="false"/>
          <w:color w:val="07787e"/>
          <w:sz w:val="21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通过AI算法预测设备故障，优化运维资源分配，降低全生命周期成本；</w:t>
      </w:r>
    </w:p>
    <w:bookmarkEnd w:id="28"/>
    <w:bookmarkStart w:name="u6b543392" w:id="29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研发新能源场景的智能感知系统：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将物联网技术深度嵌入光伏电站、分布式系统等场景，实现实时数据采集与智能决策；</w:t>
      </w:r>
    </w:p>
    <w:bookmarkEnd w:id="29"/>
    <w:bookmarkStart w:name="ue08b043e" w:id="30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推动"一带一路"区域的绿色能源合作</w:t>
      </w:r>
      <w:r>
        <w:rPr>
          <w:rFonts w:ascii="宋体" w:hAnsi="Times New Roman" w:eastAsia="宋体"/>
          <w:b w:val="false"/>
          <w:i w:val="false"/>
          <w:color w:val="07787e"/>
          <w:sz w:val="21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结合全球光伏布局需求，提供定制化数智化解决方案，助力中国企业实现技术输出与产业升级。</w:t>
      </w:r>
    </w:p>
    <w:bookmarkEnd w:id="30"/>
    <w:bookmarkStart w:name="u0b2ac8b8" w:id="31"/>
    <w:p>
      <w:pPr>
        <w:spacing w:after="50" w:line="360" w:lineRule="auto" w:beforeLines="100"/>
        <w:ind w:left="0"/>
        <w:jc w:val="left"/>
      </w:pPr>
      <w:bookmarkStart w:name="ucdad495f" w:id="32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1"/>
    <w:bookmarkStart w:name="u34f9bafd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1"/>
        </w:rPr>
        <w:t>从政策驱动的高速增长，到技术创新的品质升级，再到全球化布局的深度融合，中国光伏行业正站在新的历史起点。轨物科技始终坚持将</w:t>
      </w:r>
      <w:r>
        <w:rPr>
          <w:rFonts w:ascii="宋体" w:hAnsi="Times New Roman" w:eastAsia="宋体"/>
          <w:b/>
          <w:i w:val="false"/>
          <w:color w:val="07787e"/>
          <w:sz w:val="21"/>
        </w:rPr>
        <w:t>物联网、AI技术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与光伏运维深度融合，为企业提供从“建站”到“增效”的全流程赋能。</w:t>
      </w:r>
    </w:p>
    <w:bookmarkEnd w:id="33"/>
    <w:bookmarkStart w:name="uf728893a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1"/>
        </w:rPr>
        <w:t>未来，随着“双碳”政策的深入推进，光伏将不仅是能源转型的核心，更是制造业企业数智化升级的关键场景。轨物科技将持续深耕智慧运维领域，以技术创新响应政策导向，以陪伴式服务助力企业抓住光伏产业的“黄金十年”，让每一度绿色电力都转化为企业可持续发展的竞争力。</w:t>
      </w:r>
    </w:p>
    <w:bookmarkEnd w:id="34"/>
    <w:bookmarkStart w:name="udab60e25" w:id="35"/>
    <w:p>
      <w:pPr>
        <w:spacing w:after="50" w:line="360" w:lineRule="auto" w:beforeLines="100"/>
        <w:ind w:left="0"/>
        <w:jc w:val="left"/>
      </w:pPr>
      <w:bookmarkStart w:name="u581f1a71" w:id="36"/>
      <w:r>
        <w:rPr>
          <w:rFonts w:eastAsia="宋体" w:ascii="宋体"/>
        </w:rPr>
        <w:drawing>
          <wp:inline distT="0" distB="0" distL="0" distR="0">
            <wp:extent cx="5841999" cy="263464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0" cy="7491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  <w:bookmarkStart w:name="ue7179e64" w:id="37"/>
      <w:r>
        <w:rPr>
          <w:rFonts w:eastAsia="宋体" w:ascii="宋体"/>
        </w:rPr>
        <w:drawing>
          <wp:inline distT="0" distB="0" distL="0" distR="0">
            <wp:extent cx="5841999" cy="328896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631333" cy="767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  <w:bookmarkStart w:name="u312c4c41" w:id="38"/>
      <w:r>
        <w:rPr>
          <w:rFonts w:eastAsia="宋体" w:ascii="宋体"/>
        </w:rPr>
        <w:drawing>
          <wp:inline distT="0" distB="0" distL="0" distR="0">
            <wp:extent cx="5842000" cy="44399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319063" cy="1127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5"/>
    <w:bookmarkStart w:name="ua91f3afa" w:id="39"/>
    <w:p>
      <w:pPr>
        <w:spacing w:after="50" w:line="360" w:lineRule="auto" w:beforeLines="100"/>
        <w:ind w:left="0"/>
        <w:jc w:val="left"/>
      </w:pPr>
      <w:bookmarkStart w:name="ud7c23c01" w:id="40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  <w:bookmarkStart w:name="ufe212007" w:id="41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1"/>
      <w:bookmarkStart w:name="ud99a5261" w:id="42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  <w:bookmarkStart w:name="ud2c0f5cb" w:id="43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  <w:bookmarkStart w:name="u897671e5" w:id="44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3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3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5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6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8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9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