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【轨物宣传】轨物科技基于华为鲲鹏底座推出光伏清洁机器人智能控制和运维解决方案，定义光伏电站运维新范式</w:t>
      </w:r>
    </w:p>
    <w:p>
      <w:pPr>
        <w:spacing w:after="50" w:line="360" w:lineRule="auto" w:beforeLines="100"/>
        <w:ind w:left="0"/>
        <w:jc w:val="left"/>
      </w:pPr>
      <w:bookmarkStart w:name="u5ca18ab2" w:id="0"/>
      <w:bookmarkStart w:name="uf764cba0" w:id="1"/>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1"/>
    </w:p>
    <w:bookmarkEnd w:id="0"/>
    <w:bookmarkStart w:name="u719c82d8" w:id="2"/>
    <w:p>
      <w:pPr>
        <w:spacing w:after="50" w:line="360" w:lineRule="auto" w:beforeLines="100"/>
        <w:ind w:left="0"/>
        <w:jc w:val="left"/>
      </w:pPr>
      <w:r>
        <w:rPr>
          <w:rFonts w:ascii="宋体" w:hAnsi="Times New Roman" w:eastAsia="宋体"/>
          <w:b w:val="false"/>
          <w:i w:val="false"/>
          <w:color w:val="000000"/>
          <w:sz w:val="21"/>
        </w:rPr>
        <w:t>轨物科技基于华为</w:t>
      </w:r>
      <w:r>
        <w:rPr>
          <w:rFonts w:ascii="宋体" w:hAnsi="Times New Roman" w:eastAsia="宋体"/>
          <w:b/>
          <w:i w:val="false"/>
          <w:color w:val="5c8d07"/>
          <w:sz w:val="21"/>
        </w:rPr>
        <w:t>鲲鹏生态</w:t>
      </w:r>
      <w:r>
        <w:rPr>
          <w:rFonts w:ascii="宋体" w:hAnsi="Times New Roman" w:eastAsia="宋体"/>
          <w:b w:val="false"/>
          <w:i w:val="false"/>
          <w:color w:val="000000"/>
          <w:sz w:val="21"/>
        </w:rPr>
        <w:t>推出自主研发的“</w:t>
      </w:r>
      <w:r>
        <w:rPr>
          <w:rFonts w:ascii="宋体" w:hAnsi="Times New Roman" w:eastAsia="宋体"/>
          <w:b/>
          <w:i w:val="false"/>
          <w:color w:val="5c8d07"/>
          <w:sz w:val="21"/>
        </w:rPr>
        <w:t>光伏清洁机器人智能控制和运维解决方案V1.0</w:t>
      </w:r>
      <w:r>
        <w:rPr>
          <w:rFonts w:ascii="宋体" w:hAnsi="Times New Roman" w:eastAsia="宋体"/>
          <w:b w:val="false"/>
          <w:i w:val="false"/>
          <w:color w:val="000000"/>
          <w:sz w:val="21"/>
        </w:rPr>
        <w:t>”，这项技术成果不仅标志着轨物科技在智能运维领域的研发能力实现质的飞跃，更彰显了该企业在推动能源产业智能化转型、保障核心设备自主可控方面的前瞻布局，为光伏电站的高效运维开创了全新范式。</w:t>
      </w:r>
    </w:p>
    <w:bookmarkEnd w:id="2"/>
    <w:bookmarkStart w:name="u34e7bcc9" w:id="3"/>
    <w:p>
      <w:pPr>
        <w:spacing w:after="50" w:line="360" w:lineRule="auto" w:beforeLines="100"/>
        <w:ind w:left="0"/>
        <w:jc w:val="left"/>
      </w:pPr>
      <w:bookmarkStart w:name="u2bd2e236" w:id="4"/>
      <w:r>
        <w:rPr>
          <w:rFonts w:eastAsia="宋体" w:ascii="宋体"/>
        </w:rPr>
        <w:drawing>
          <wp:inline distT="0" distB="0" distL="0" distR="0">
            <wp:extent cx="5842000" cy="18343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02800" cy="7034228"/>
                    </a:xfrm>
                    <a:prstGeom prst="rect">
                      <a:avLst/>
                    </a:prstGeom>
                  </pic:spPr>
                </pic:pic>
              </a:graphicData>
            </a:graphic>
          </wp:inline>
        </w:drawing>
      </w:r>
      <w:bookmarkEnd w:id="4"/>
    </w:p>
    <w:bookmarkEnd w:id="3"/>
    <w:bookmarkStart w:name="ua94136b3" w:id="5"/>
    <w:p>
      <w:pPr>
        <w:spacing w:after="50" w:line="360" w:lineRule="auto" w:beforeLines="100"/>
        <w:ind w:left="0"/>
        <w:jc w:val="left"/>
      </w:pPr>
      <w:r>
        <w:rPr>
          <w:rFonts w:ascii="宋体" w:hAnsi="Times New Roman" w:eastAsia="宋体"/>
          <w:b w:val="false"/>
          <w:i w:val="false"/>
          <w:color w:val="000000"/>
          <w:sz w:val="21"/>
        </w:rPr>
        <w:t>此次解决方案的成功开发基于</w:t>
      </w:r>
      <w:r>
        <w:rPr>
          <w:rFonts w:ascii="宋体" w:hAnsi="Times New Roman" w:eastAsia="宋体"/>
          <w:b/>
          <w:i w:val="false"/>
          <w:color w:val="5c8d07"/>
          <w:sz w:val="21"/>
        </w:rPr>
        <w:t>华为Kunpeng 920 V200处理器</w:t>
      </w:r>
      <w:r>
        <w:rPr>
          <w:rFonts w:ascii="宋体" w:hAnsi="Times New Roman" w:eastAsia="宋体"/>
          <w:b w:val="false"/>
          <w:i w:val="false"/>
          <w:color w:val="000000"/>
          <w:sz w:val="21"/>
        </w:rPr>
        <w:t>，搭载</w:t>
      </w:r>
      <w:r>
        <w:rPr>
          <w:rFonts w:ascii="宋体" w:hAnsi="Times New Roman" w:eastAsia="宋体"/>
          <w:b/>
          <w:i w:val="false"/>
          <w:color w:val="5c8d07"/>
          <w:sz w:val="21"/>
        </w:rPr>
        <w:t>openEuler 22.03 LTS SP3操作系统</w:t>
      </w:r>
      <w:r>
        <w:rPr>
          <w:rFonts w:ascii="宋体" w:hAnsi="Times New Roman" w:eastAsia="宋体"/>
          <w:b w:val="false"/>
          <w:i w:val="false"/>
          <w:color w:val="000000"/>
          <w:sz w:val="21"/>
        </w:rPr>
        <w:t>与</w:t>
      </w:r>
      <w:r>
        <w:rPr>
          <w:rFonts w:ascii="宋体" w:hAnsi="Times New Roman" w:eastAsia="宋体"/>
          <w:b/>
          <w:i w:val="false"/>
          <w:color w:val="5c8d07"/>
          <w:sz w:val="21"/>
        </w:rPr>
        <w:t>TaiShan 200硬件平台</w:t>
      </w:r>
      <w:r>
        <w:rPr>
          <w:rFonts w:ascii="宋体" w:hAnsi="Times New Roman" w:eastAsia="宋体"/>
          <w:b w:val="false"/>
          <w:i w:val="false"/>
          <w:color w:val="000000"/>
          <w:sz w:val="21"/>
        </w:rPr>
        <w:t>，从根本上保障了方案的计算性能、系统稳定性与生态兼容性。作为国产化技术的重要里程碑，这不仅是对轨物科技创新能力的权威认可，更为光伏行业的智能化升级提供了“中国方案”。</w:t>
      </w:r>
    </w:p>
    <w:bookmarkEnd w:id="5"/>
    <w:bookmarkStart w:name="u233a61b8" w:id="6"/>
    <w:p>
      <w:pPr>
        <w:spacing w:after="50" w:line="360" w:lineRule="auto" w:beforeLines="100"/>
        <w:ind w:left="0"/>
        <w:jc w:val="left"/>
      </w:pPr>
      <w:bookmarkStart w:name="u8a4c3674" w:id="7"/>
      <w:r>
        <w:rPr>
          <w:rFonts w:eastAsia="宋体" w:ascii="宋体"/>
        </w:rPr>
        <w:drawing>
          <wp:inline distT="0" distB="0" distL="0" distR="0">
            <wp:extent cx="5841999" cy="406827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4492794"/>
                    </a:xfrm>
                    <a:prstGeom prst="rect">
                      <a:avLst/>
                    </a:prstGeom>
                  </pic:spPr>
                </pic:pic>
              </a:graphicData>
            </a:graphic>
          </wp:inline>
        </w:drawing>
      </w:r>
      <w:bookmarkEnd w:id="7"/>
    </w:p>
    <w:bookmarkEnd w:id="6"/>
    <w:bookmarkStart w:name="u97e87722" w:id="8"/>
    <w:p>
      <w:pPr>
        <w:spacing w:after="50" w:line="360" w:lineRule="auto" w:beforeLines="100"/>
        <w:ind w:left="0"/>
        <w:jc w:val="left"/>
      </w:pPr>
      <w:r>
        <w:rPr>
          <w:rFonts w:ascii="宋体" w:hAnsi="Times New Roman" w:eastAsia="宋体"/>
          <w:b w:val="false"/>
          <w:i w:val="false"/>
          <w:color w:val="000000"/>
          <w:sz w:val="22"/>
        </w:rPr>
        <w:t>该解决方案融合了</w:t>
      </w:r>
      <w:r>
        <w:rPr>
          <w:rFonts w:ascii="宋体" w:hAnsi="Times New Roman" w:eastAsia="宋体"/>
          <w:b/>
          <w:i w:val="false"/>
          <w:color w:val="5c8d07"/>
          <w:sz w:val="22"/>
        </w:rPr>
        <w:t>智能路径规划、自动化清洁、远程监控</w:t>
      </w:r>
      <w:r>
        <w:rPr>
          <w:rFonts w:ascii="宋体" w:hAnsi="Times New Roman" w:eastAsia="宋体"/>
          <w:b w:val="false"/>
          <w:i w:val="false"/>
          <w:color w:val="000000"/>
          <w:sz w:val="22"/>
        </w:rPr>
        <w:t>及</w:t>
      </w:r>
      <w:r>
        <w:rPr>
          <w:rFonts w:ascii="宋体" w:hAnsi="Times New Roman" w:eastAsia="宋体"/>
          <w:b/>
          <w:i w:val="false"/>
          <w:color w:val="5c8d07"/>
          <w:sz w:val="22"/>
        </w:rPr>
        <w:t>数据分析</w:t>
      </w:r>
      <w:r>
        <w:rPr>
          <w:rFonts w:ascii="宋体" w:hAnsi="Times New Roman" w:eastAsia="宋体"/>
          <w:b w:val="false"/>
          <w:i w:val="false"/>
          <w:color w:val="000000"/>
          <w:sz w:val="22"/>
        </w:rPr>
        <w:t>等多项关键技术，旨在显著提升光伏电站的运维效率，显著降低人工成本，助力光伏行业实现智能化、无人化的运维管理模式，有效降低人工运维成本，推动光伏行业向无人化、智能化转型，为光伏电站运维提供精准化决策支持，助力企业提升市场竞争力和行业影响力。</w:t>
      </w:r>
    </w:p>
    <w:bookmarkEnd w:id="8"/>
    <w:bookmarkStart w:name="ua45e69fd" w:id="9"/>
    <w:p>
      <w:pPr>
        <w:spacing w:after="50" w:line="360" w:lineRule="auto" w:beforeLines="100"/>
        <w:ind w:left="0"/>
        <w:jc w:val="left"/>
      </w:pPr>
      <w:bookmarkStart w:name="p59M0" w:id="10"/>
      <w:r>
        <w:rPr>
          <w:rFonts w:eastAsia="宋体" w:ascii="宋体"/>
        </w:rPr>
        <w:drawing>
          <wp:inline distT="0" distB="0" distL="0" distR="0">
            <wp:extent cx="5841999" cy="250609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14800" cy="7213206"/>
                    </a:xfrm>
                    <a:prstGeom prst="rect">
                      <a:avLst/>
                    </a:prstGeom>
                  </pic:spPr>
                </pic:pic>
              </a:graphicData>
            </a:graphic>
          </wp:inline>
        </w:drawing>
      </w:r>
      <w:bookmarkEnd w:id="10"/>
    </w:p>
    <w:bookmarkEnd w:id="9"/>
    <w:bookmarkStart w:name="u40d8c792" w:id="11"/>
    <w:p>
      <w:pPr>
        <w:spacing w:after="50" w:line="360" w:lineRule="auto" w:beforeLines="100"/>
        <w:ind w:left="0"/>
        <w:jc w:val="left"/>
      </w:pPr>
      <w:bookmarkStart w:name="u4801fb75" w:id="12"/>
      <w:r>
        <w:rPr>
          <w:rFonts w:eastAsia="宋体" w:ascii="宋体"/>
        </w:rPr>
        <w:drawing>
          <wp:inline distT="0" distB="0" distL="0" distR="0">
            <wp:extent cx="5841999" cy="21322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14800" cy="6137110"/>
                    </a:xfrm>
                    <a:prstGeom prst="rect">
                      <a:avLst/>
                    </a:prstGeom>
                  </pic:spPr>
                </pic:pic>
              </a:graphicData>
            </a:graphic>
          </wp:inline>
        </w:drawing>
      </w:r>
      <w:bookmarkEnd w:id="12"/>
    </w:p>
    <w:bookmarkEnd w:id="11"/>
    <w:bookmarkStart w:name="u84d510a9" w:id="13"/>
    <w:p>
      <w:pPr>
        <w:spacing w:after="50" w:line="360" w:lineRule="auto" w:beforeLines="100"/>
        <w:ind w:left="0"/>
        <w:jc w:val="left"/>
      </w:pPr>
      <w:r>
        <w:rPr>
          <w:rFonts w:ascii="宋体" w:hAnsi="Times New Roman" w:eastAsia="宋体"/>
          <w:b w:val="false"/>
          <w:i w:val="false"/>
          <w:color w:val="000000"/>
          <w:sz w:val="22"/>
        </w:rPr>
        <w:t>未来，轨物科技与华为将加大该解决方案在光伏电站、分布式光伏等场景的应用推广，并不断探索适合未来发展的途径与模式，从而进一步加速光伏行业的</w:t>
      </w:r>
      <w:r>
        <w:rPr>
          <w:rFonts w:ascii="宋体" w:hAnsi="Times New Roman" w:eastAsia="宋体"/>
          <w:b/>
          <w:i w:val="false"/>
          <w:color w:val="5c8d07"/>
          <w:sz w:val="22"/>
        </w:rPr>
        <w:t>智能化升级</w:t>
      </w:r>
      <w:r>
        <w:rPr>
          <w:rFonts w:ascii="宋体" w:hAnsi="Times New Roman" w:eastAsia="宋体"/>
          <w:b w:val="false"/>
          <w:i w:val="false"/>
          <w:color w:val="000000"/>
          <w:sz w:val="22"/>
        </w:rPr>
        <w:t>，共同携手，共创辉煌。</w:t>
      </w:r>
    </w:p>
    <w:bookmarkEnd w:id="13"/>
    <w:bookmarkStart w:name="u489ae84d" w:id="14"/>
    <w:p>
      <w:pPr>
        <w:spacing w:after="50" w:line="360" w:lineRule="auto" w:beforeLines="100"/>
        <w:ind w:left="0"/>
        <w:jc w:val="left"/>
      </w:pPr>
      <w:bookmarkStart w:name="lIUvB" w:id="15"/>
      <w:r>
        <w:rPr>
          <w:rFonts w:eastAsia="宋体" w:ascii="宋体"/>
        </w:rPr>
        <w:drawing>
          <wp:inline distT="0" distB="0" distL="0" distR="0">
            <wp:extent cx="5841999" cy="21322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814800" cy="6137110"/>
                    </a:xfrm>
                    <a:prstGeom prst="rect">
                      <a:avLst/>
                    </a:prstGeom>
                  </pic:spPr>
                </pic:pic>
              </a:graphicData>
            </a:graphic>
          </wp:inline>
        </w:drawing>
      </w:r>
      <w:bookmarkEnd w:id="15"/>
    </w:p>
    <w:bookmarkEnd w:id="14"/>
    <w:bookmarkStart w:name="uffa49deb" w:id="16"/>
    <w:p>
      <w:pPr>
        <w:spacing w:after="50" w:line="360" w:lineRule="auto" w:beforeLines="100"/>
        <w:ind w:left="0"/>
        <w:jc w:val="left"/>
      </w:pPr>
      <w:r>
        <w:rPr>
          <w:rFonts w:ascii="宋体" w:hAnsi="Times New Roman" w:eastAsia="宋体"/>
          <w:b/>
          <w:i w:val="false"/>
          <w:color w:val="5c8d07"/>
          <w:sz w:val="22"/>
        </w:rPr>
        <w:t>鲲鹏展翅，同航共进！</w:t>
      </w:r>
      <w:r>
        <w:rPr>
          <w:rFonts w:ascii="宋体" w:hAnsi="Times New Roman" w:eastAsia="宋体"/>
          <w:b w:val="false"/>
          <w:i w:val="false"/>
          <w:color w:val="000000"/>
          <w:sz w:val="22"/>
        </w:rPr>
        <w:t xml:space="preserve"> 轨物科技期待与更多合作伙伴通力合作，致力于开拓国产化技术的全新蓝海，共同迎接数字化转型带来的无限机遇与挑战。欢迎垂询合作，探索更多可能性！</w:t>
      </w:r>
    </w:p>
    <w:bookmarkEnd w:id="16"/>
    <w:bookmarkStart w:name="u2d29b052" w:id="17"/>
    <w:p>
      <w:pPr>
        <w:spacing w:after="50" w:line="360" w:lineRule="auto" w:beforeLines="100"/>
        <w:ind w:left="0"/>
        <w:jc w:val="left"/>
      </w:pPr>
      <w:bookmarkStart w:name="ue16fd594" w:id="18"/>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487466" cy="1866421"/>
                    </a:xfrm>
                    <a:prstGeom prst="rect">
                      <a:avLst/>
                    </a:prstGeom>
                  </pic:spPr>
                </pic:pic>
              </a:graphicData>
            </a:graphic>
          </wp:inline>
        </w:drawing>
      </w:r>
      <w:bookmarkEnd w:id="18"/>
    </w:p>
    <w:bookmarkEnd w:id="1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