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image/png" PartName="/word/media/document_image_rId26.png"/>
  <Override ContentType="image/png" PartName="/word/media/document_image_rId27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【轨物方案】软硬件一体赋能，开启矿山机械远程智慧运维新篇章</w:t>
      </w:r>
    </w:p>
    <w:p>
      <w:pPr>
        <w:spacing w:after="50" w:line="360" w:lineRule="auto" w:beforeLines="100"/>
        <w:ind w:left="0"/>
        <w:jc w:val="left"/>
      </w:pPr>
      <w:bookmarkStart w:name="uf671ce30" w:id="0"/>
      <w:bookmarkStart w:name="u1bcfb8d2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3da7eed8" w:id="2"/>
    <w:p>
      <w:pPr>
        <w:spacing w:after="50" w:line="360" w:lineRule="auto" w:beforeLines="100"/>
        <w:ind w:left="0"/>
        <w:jc w:val="left"/>
      </w:pPr>
      <w:bookmarkStart w:name="u84891859" w:id="3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dcd109c8" w:id="4"/>
    <w:p>
      <w:pPr>
        <w:spacing w:after="50" w:line="360" w:lineRule="auto" w:beforeLines="100"/>
        <w:ind w:left="0"/>
        <w:jc w:val="left"/>
      </w:pPr>
      <w:bookmarkStart w:name="g3c0R" w:id="5"/>
      <w:r>
        <w:rPr>
          <w:rFonts w:eastAsia="宋体" w:ascii="宋体"/>
        </w:rPr>
        <w:drawing>
          <wp:inline distT="0" distB="0" distL="0" distR="0">
            <wp:extent cx="5842000" cy="3680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bookmarkEnd w:id="4"/>
    <w:bookmarkStart w:name="u1a994130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在露天矿的炎炎烈日下，在地下矿的深邃巷道中，矿山机械——这些“钢铁巨兽”是生产运营的核心命脉。设备突发的故障停机、检修的效率低下、安全风险难以预控、维护成本居高不下... 这些痛点长久以来困扰着矿山企业，阻碍着矿山领域向智慧化、安全化、高效化转型升级。</w:t>
      </w:r>
    </w:p>
    <w:bookmarkEnd w:id="6"/>
    <w:bookmarkStart w:name="ub6701f0e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破解矿业运维困局，需要更深度的技术创新与全链条赋能。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自2010年创立以来，</w:t>
      </w:r>
      <w:r>
        <w:rPr>
          <w:rFonts w:ascii="宋体" w:hAnsi="Times New Roman" w:eastAsia="宋体"/>
          <w:b/>
          <w:i w:val="false"/>
          <w:color w:val="5c8d07"/>
          <w:sz w:val="22"/>
        </w:rPr>
        <w:t>轨物科技有限公司 (Thingcom)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始终深耕物联网与人工智能技术前沿，依托产学研用深度闭环，致力于将尖端技术转化为</w:t>
      </w:r>
      <w:r>
        <w:rPr>
          <w:rFonts w:ascii="宋体" w:hAnsi="Times New Roman" w:eastAsia="宋体"/>
          <w:b/>
          <w:i w:val="false"/>
          <w:color w:val="5c8d07"/>
          <w:sz w:val="22"/>
        </w:rPr>
        <w:t>解决制造业关键痛点的“交钥匙”方案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。我们将目光聚焦于矿山机械这一关键领域，倾力打造了业界领先的</w:t>
      </w:r>
      <w:r>
        <w:rPr>
          <w:rFonts w:ascii="宋体" w:hAnsi="Times New Roman" w:eastAsia="宋体"/>
          <w:b/>
          <w:i w:val="false"/>
          <w:color w:val="5c8d07"/>
          <w:sz w:val="22"/>
        </w:rPr>
        <w:t>矿山机械远程运维物联网软硬件一站式解决方案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，全程陪伴矿山企业，用</w:t>
      </w:r>
      <w:r>
        <w:rPr>
          <w:rFonts w:ascii="宋体" w:hAnsi="Times New Roman" w:eastAsia="宋体"/>
          <w:b/>
          <w:i w:val="false"/>
          <w:color w:val="5c8d07"/>
          <w:sz w:val="22"/>
        </w:rPr>
        <w:t>智能让转型更简单、运维更高效、成功更可期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7"/>
    <w:bookmarkStart w:name="ueb4d52c3" w:id="8"/>
    <w:p>
      <w:pPr>
        <w:spacing w:after="50" w:line="360" w:lineRule="auto" w:beforeLines="100"/>
        <w:ind w:left="0"/>
        <w:jc w:val="left"/>
      </w:pPr>
      <w:bookmarkStart w:name="uddf6a2bd" w:id="9"/>
      <w:r>
        <w:rPr>
          <w:rFonts w:eastAsia="宋体" w:ascii="宋体"/>
        </w:rPr>
        <w:drawing>
          <wp:inline distT="0" distB="0" distL="0" distR="0">
            <wp:extent cx="5842000" cy="130860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bookmarkEnd w:id="8"/>
    <w:bookmarkStart w:name="u82822616" w:id="10"/>
    <w:p>
      <w:pPr>
        <w:spacing w:after="50" w:line="360" w:lineRule="auto" w:beforeLines="100"/>
        <w:ind w:left="0"/>
        <w:jc w:val="left"/>
      </w:pPr>
      <w:bookmarkStart w:name="u968f2df6" w:id="11"/>
      <w:r>
        <w:rPr>
          <w:rFonts w:eastAsia="宋体" w:ascii="宋体"/>
        </w:rPr>
        <w:drawing>
          <wp:inline distT="0" distB="0" distL="0" distR="0">
            <wp:extent cx="5841999" cy="205628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0" cy="591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bookmarkEnd w:id="10"/>
    <w:bookmarkStart w:name="uee7a4b9e" w:id="12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设备状态“黑箱化”</w:t>
      </w:r>
      <w:r>
        <w:rPr>
          <w:rFonts w:ascii="宋体" w:hAnsi="Times New Roman" w:eastAsia="宋体"/>
          <w:b/>
          <w:i w:val="false"/>
          <w:color w:val="000000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关键设备运行参数看不见、摸不着，依赖人工巡检，效率低、易漏检，故障无法预测预警。</w:t>
      </w:r>
    </w:p>
    <w:bookmarkEnd w:id="12"/>
    <w:bookmarkStart w:name="u417ad3c3" w:id="13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故障响应“慢半拍”</w:t>
      </w:r>
      <w:r>
        <w:rPr>
          <w:rFonts w:ascii="宋体" w:hAnsi="Times New Roman" w:eastAsia="宋体"/>
          <w:b/>
          <w:i w:val="false"/>
          <w:color w:val="000000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偏远矿区突发故障，专家难以及时赶赴现场，维修窗口期长，导致停机损失巨大。</w:t>
      </w:r>
    </w:p>
    <w:bookmarkEnd w:id="13"/>
    <w:bookmarkStart w:name="uf84bacbd" w:id="14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运维成本“高消耗”</w:t>
      </w:r>
      <w:r>
        <w:rPr>
          <w:rFonts w:ascii="宋体" w:hAnsi="Times New Roman" w:eastAsia="宋体"/>
          <w:b/>
          <w:i w:val="false"/>
          <w:color w:val="000000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计划外维修多、备件库存不合理、维护缺乏精准依据，资源浪费严重。</w:t>
      </w:r>
    </w:p>
    <w:bookmarkEnd w:id="14"/>
    <w:bookmarkStart w:name="u8af1c7af" w:id="15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安全管理“难度大”</w:t>
      </w:r>
      <w:r>
        <w:rPr>
          <w:rFonts w:ascii="宋体" w:hAnsi="Times New Roman" w:eastAsia="宋体"/>
          <w:b/>
          <w:i w:val="false"/>
          <w:color w:val="000000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作业环境复杂，设备运行隐患无法实时感知，安全事故风险难以有效控制。</w:t>
      </w:r>
    </w:p>
    <w:bookmarkEnd w:id="15"/>
    <w:bookmarkStart w:name="u74779061" w:id="16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决策支持“凭经验”</w:t>
      </w:r>
      <w:r>
        <w:rPr>
          <w:rFonts w:ascii="宋体" w:hAnsi="Times New Roman" w:eastAsia="宋体"/>
          <w:b/>
          <w:i w:val="false"/>
          <w:color w:val="000000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设备健康评估、维护策略制定主要依赖经验，缺乏数据支撑的科学决策。</w:t>
      </w:r>
    </w:p>
    <w:bookmarkEnd w:id="16"/>
    <w:bookmarkStart w:name="u60a38684" w:id="17"/>
    <w:p>
      <w:pPr>
        <w:spacing w:after="50" w:line="360" w:lineRule="auto" w:beforeLines="100"/>
        <w:ind w:left="0"/>
        <w:jc w:val="left"/>
      </w:pPr>
      <w:bookmarkStart w:name="ua54b6ec9" w:id="18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bookmarkEnd w:id="17"/>
    <w:bookmarkStart w:name="u89081818" w:id="19"/>
    <w:p>
      <w:pPr>
        <w:spacing w:after="50" w:line="360" w:lineRule="auto" w:beforeLines="100"/>
        <w:ind w:left="0"/>
        <w:jc w:val="left"/>
      </w:pPr>
      <w:bookmarkStart w:name="uce13e27c" w:id="20"/>
      <w:r>
        <w:rPr>
          <w:rFonts w:eastAsia="宋体" w:ascii="宋体"/>
        </w:rPr>
        <w:drawing>
          <wp:inline distT="0" distB="0" distL="0" distR="0">
            <wp:extent cx="5841999" cy="13085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439467" cy="4354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9"/>
    <w:bookmarkStart w:name="u6b41c823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轨物科技凭借在物联网、AI领域的深厚积累和丰富的制造业服务经验，提供</w:t>
      </w:r>
      <w:r>
        <w:rPr>
          <w:rFonts w:ascii="宋体" w:hAnsi="Times New Roman" w:eastAsia="宋体"/>
          <w:b/>
          <w:i w:val="false"/>
          <w:color w:val="5c8d07"/>
          <w:sz w:val="22"/>
        </w:rPr>
        <w:t>从边缘到云端、从硬件到软件的完整闭环解决方案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，彻底打通矿山机械智能化运维的任督二脉。</w:t>
      </w:r>
    </w:p>
    <w:bookmarkEnd w:id="21"/>
    <w:bookmarkStart w:name="u64ff8b06" w:id="22"/>
    <w:p>
      <w:pPr>
        <w:spacing w:after="50" w:line="360" w:lineRule="auto" w:beforeLines="100"/>
        <w:ind w:left="0"/>
        <w:jc w:val="left"/>
      </w:pPr>
      <w:bookmarkStart w:name="ufa850806" w:id="23"/>
      <w:r>
        <w:rPr>
          <w:rFonts w:eastAsia="宋体" w:ascii="宋体"/>
        </w:rPr>
        <w:drawing>
          <wp:inline distT="0" distB="0" distL="0" distR="0">
            <wp:extent cx="5841999" cy="250609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0" cy="7213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bookmarkEnd w:id="22"/>
    <w:bookmarkStart w:name="u8f16ac14" w:id="24"/>
    <w:p>
      <w:pPr>
        <w:spacing w:after="50" w:line="360" w:lineRule="auto" w:beforeLines="100"/>
        <w:ind w:left="0"/>
        <w:jc w:val="left"/>
      </w:pPr>
      <w:bookmarkStart w:name="ubb6d00a4" w:id="25"/>
      <w:r>
        <w:rPr>
          <w:rFonts w:eastAsia="宋体" w:ascii="宋体"/>
        </w:rPr>
        <w:drawing>
          <wp:inline distT="0" distB="0" distL="0" distR="0">
            <wp:extent cx="5841999" cy="164736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0" cy="4741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5"/>
    </w:p>
    <w:bookmarkEnd w:id="24"/>
    <w:bookmarkStart w:name="KrsJj" w:id="2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5c8d07"/>
        </w:rPr>
        <w:t>方案核心架构与优势：</w:t>
      </w:r>
    </w:p>
    <w:bookmarkEnd w:id="26"/>
    <w:bookmarkStart w:name="u5ee82c53" w:id="27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智能感知层：精准采集设备“脉动”</w:t>
      </w:r>
    </w:p>
    <w:bookmarkEnd w:id="27"/>
    <w:bookmarkStart w:name="ub09deeb4" w:id="28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高可靠工业传感硬件</w:t>
      </w:r>
      <w:r>
        <w:rPr>
          <w:rFonts w:ascii="宋体" w:hAnsi="Times New Roman" w:eastAsia="宋体"/>
          <w:b/>
          <w:i w:val="false"/>
          <w:color w:val="000000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部署</w:t>
      </w:r>
      <w:r>
        <w:rPr>
          <w:rFonts w:ascii="宋体" w:hAnsi="Times New Roman" w:eastAsia="宋体"/>
          <w:b/>
          <w:i w:val="false"/>
          <w:color w:val="5c8d07"/>
          <w:sz w:val="22"/>
        </w:rPr>
        <w:t>振动、温度、压力、油液品质、电流、电压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等多种高性能传感器，24小时不间断采集设备的“生命体征”。</w:t>
      </w:r>
    </w:p>
    <w:bookmarkEnd w:id="28"/>
    <w:bookmarkStart w:name="uc2e1eba1" w:id="29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边缘智能计算网关：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搭载轨物自研的边缘计算模块（Edge AI Box），进行</w:t>
      </w:r>
      <w:r>
        <w:rPr>
          <w:rFonts w:ascii="宋体" w:hAnsi="Times New Roman" w:eastAsia="宋体"/>
          <w:b/>
          <w:i w:val="false"/>
          <w:color w:val="5c8d07"/>
          <w:sz w:val="22"/>
        </w:rPr>
        <w:t>本地设备状态识别（如异常振动、温度超标）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和</w:t>
      </w:r>
      <w:r>
        <w:rPr>
          <w:rFonts w:ascii="宋体" w:hAnsi="Times New Roman" w:eastAsia="宋体"/>
          <w:b/>
          <w:i w:val="false"/>
          <w:color w:val="5c8d07"/>
          <w:sz w:val="22"/>
        </w:rPr>
        <w:t>数据预处理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，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确保关键信息的实时性与可靠性，减轻云平台压力。</w:t>
      </w:r>
    </w:p>
    <w:bookmarkEnd w:id="29"/>
    <w:bookmarkStart w:name="uda191531" w:id="30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可靠传输层：全场景无缝互联</w:t>
      </w:r>
    </w:p>
    <w:bookmarkEnd w:id="30"/>
    <w:bookmarkStart w:name="u927b4dea" w:id="31"/>
    <w:p>
      <w:pPr>
        <w:numPr>
          <w:ilvl w:val="0"/>
          <w:numId w:val="1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异构网络智能融合：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支持 </w:t>
      </w:r>
      <w:r>
        <w:rPr>
          <w:rFonts w:ascii="宋体" w:hAnsi="Times New Roman" w:eastAsia="宋体"/>
          <w:b/>
          <w:i w:val="false"/>
          <w:color w:val="5c8d07"/>
          <w:sz w:val="22"/>
        </w:rPr>
        <w:t>4G/5G、LoRa、NB-IoT、Wi-Fi、工业以太网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等多种传输方式，灵活适应矿区复杂网络环境，确保数据传输</w:t>
      </w:r>
      <w:r>
        <w:rPr>
          <w:rFonts w:ascii="宋体" w:hAnsi="Times New Roman" w:eastAsia="宋体"/>
          <w:b/>
          <w:i w:val="false"/>
          <w:color w:val="5c8d07"/>
          <w:sz w:val="22"/>
        </w:rPr>
        <w:t>高可靠、低延时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31"/>
    <w:bookmarkStart w:name="u5be94146" w:id="32"/>
    <w:p>
      <w:pPr>
        <w:numPr>
          <w:ilvl w:val="0"/>
          <w:numId w:val="1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安全加密通道：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通过多重加密技术保障传输与存储安全，满足工控安全标准。</w:t>
      </w:r>
    </w:p>
    <w:bookmarkEnd w:id="32"/>
    <w:bookmarkStart w:name="u8b8b3072" w:id="33"/>
    <w:p>
      <w:pPr>
        <w:numPr>
          <w:ilvl w:val="0"/>
          <w:numId w:val="1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大数据与AI中枢：让数据开口说话</w:t>
      </w:r>
    </w:p>
    <w:bookmarkEnd w:id="33"/>
    <w:bookmarkStart w:name="u077da4f8" w:id="34"/>
    <w:p>
      <w:pPr>
        <w:numPr>
          <w:ilvl w:val="0"/>
          <w:numId w:val="1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强大的云端物联网平台 (IOT Platform)</w:t>
      </w:r>
      <w:r>
        <w:rPr>
          <w:rFonts w:ascii="宋体" w:hAnsi="Times New Roman" w:eastAsia="宋体"/>
          <w:b/>
          <w:i w:val="false"/>
          <w:color w:val="000000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构建矿山的“数据大脑”，</w:t>
      </w:r>
      <w:r>
        <w:rPr>
          <w:rFonts w:ascii="宋体" w:hAnsi="Times New Roman" w:eastAsia="宋体"/>
          <w:b/>
          <w:i w:val="false"/>
          <w:color w:val="5c8d07"/>
          <w:sz w:val="22"/>
        </w:rPr>
        <w:t>海量存储、高效处理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来自各类设备的时序数据、图像和音视频。</w:t>
      </w:r>
    </w:p>
    <w:bookmarkEnd w:id="34"/>
    <w:bookmarkStart w:name="ub3551804" w:id="35"/>
    <w:p>
      <w:pPr>
        <w:numPr>
          <w:ilvl w:val="0"/>
          <w:numId w:val="1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AI驱动的预测性分析与健康管理 (PHM)：</w:t>
      </w:r>
    </w:p>
    <w:bookmarkEnd w:id="35"/>
    <w:bookmarkStart w:name="ufb022196" w:id="36"/>
    <w:p>
      <w:pPr>
        <w:numPr>
          <w:ilvl w:val="0"/>
          <w:numId w:val="1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深度设备模型：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基于物理机理与机器学习，构建核心矿山设备的“数字孪生”模型。</w:t>
      </w:r>
    </w:p>
    <w:bookmarkEnd w:id="36"/>
    <w:bookmarkStart w:name="ucbde25fe" w:id="37"/>
    <w:p>
      <w:pPr>
        <w:numPr>
          <w:ilvl w:val="0"/>
          <w:numId w:val="1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智能预警诊断：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应用先进的</w:t>
      </w:r>
      <w:r>
        <w:rPr>
          <w:rFonts w:ascii="宋体" w:hAnsi="Times New Roman" w:eastAsia="宋体"/>
          <w:b/>
          <w:i w:val="false"/>
          <w:color w:val="5c8d07"/>
          <w:sz w:val="22"/>
        </w:rPr>
        <w:t>AI算法（如深度学习、迁移学习）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，实现</w:t>
      </w:r>
      <w:r>
        <w:rPr>
          <w:rFonts w:ascii="宋体" w:hAnsi="Times New Roman" w:eastAsia="宋体"/>
          <w:b/>
          <w:i w:val="false"/>
          <w:color w:val="5c8d07"/>
          <w:sz w:val="22"/>
        </w:rPr>
        <w:t>设备早期故障预警（如轴承损伤、齿轮磨损）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和</w:t>
      </w:r>
      <w:r>
        <w:rPr>
          <w:rFonts w:ascii="宋体" w:hAnsi="Times New Roman" w:eastAsia="宋体"/>
          <w:b/>
          <w:i w:val="false"/>
          <w:color w:val="5c8d07"/>
          <w:sz w:val="22"/>
        </w:rPr>
        <w:t>精准的根源分析诊断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。</w:t>
      </w:r>
    </w:p>
    <w:bookmarkEnd w:id="37"/>
    <w:bookmarkStart w:name="u5c12100f" w:id="38"/>
    <w:p>
      <w:pPr>
        <w:numPr>
          <w:ilvl w:val="0"/>
          <w:numId w:val="1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寿命预测与管理：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预测关键零部件剩余寿命，为精准维护与备件管理提供数据支撑。</w:t>
      </w:r>
    </w:p>
    <w:bookmarkEnd w:id="38"/>
    <w:bookmarkStart w:name="u4a719f27" w:id="39"/>
    <w:p>
      <w:pPr>
        <w:spacing w:after="50" w:line="360" w:lineRule="auto" w:beforeLines="100"/>
        <w:ind w:left="0"/>
        <w:jc w:val="left"/>
      </w:pPr>
      <w:bookmarkStart w:name="ubf8a4da1" w:id="40"/>
      <w:r>
        <w:rPr>
          <w:rFonts w:eastAsia="宋体" w:ascii="宋体"/>
        </w:rPr>
        <w:drawing>
          <wp:inline distT="0" distB="0" distL="0" distR="0">
            <wp:extent cx="5841999" cy="185182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0" cy="533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0"/>
    </w:p>
    <w:bookmarkEnd w:id="39"/>
    <w:bookmarkStart w:name="u2a85acc3" w:id="41"/>
    <w:p>
      <w:pPr>
        <w:numPr>
          <w:ilvl w:val="0"/>
          <w:numId w:val="1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智慧应用层：运维决策的“指挥中心”</w:t>
      </w:r>
    </w:p>
    <w:bookmarkEnd w:id="41"/>
    <w:bookmarkStart w:name="uc8162a22" w:id="42"/>
    <w:p>
      <w:pPr>
        <w:numPr>
          <w:ilvl w:val="0"/>
          <w:numId w:val="1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可视化远程监控大屏 (Dashboard)：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5c8d07"/>
          <w:sz w:val="22"/>
        </w:rPr>
        <w:t>GIS地图一张图掌握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全矿设备分布与实时状态（健康状态、位置、运行参数），一目了然。</w:t>
      </w:r>
    </w:p>
    <w:bookmarkEnd w:id="42"/>
    <w:bookmarkStart w:name="u6f7b4123" w:id="43"/>
    <w:p>
      <w:pPr>
        <w:numPr>
          <w:ilvl w:val="0"/>
          <w:numId w:val="2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智能工单与协同闭环：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预警/警报自动触发工单，关联设备信息、检修历史、知识库，优化任务派发流程，记录执行全过程，形成</w:t>
      </w:r>
      <w:r>
        <w:rPr>
          <w:rFonts w:ascii="宋体" w:hAnsi="Times New Roman" w:eastAsia="宋体"/>
          <w:b/>
          <w:i w:val="false"/>
          <w:color w:val="5c8d07"/>
          <w:sz w:val="22"/>
        </w:rPr>
        <w:t>设备维护闭环管理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。</w:t>
      </w:r>
    </w:p>
    <w:bookmarkEnd w:id="43"/>
    <w:bookmarkStart w:name="ufc0549c9" w:id="44"/>
    <w:p>
      <w:pPr>
        <w:numPr>
          <w:ilvl w:val="0"/>
          <w:numId w:val="2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效能分析与优化建议：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5c8d07"/>
          <w:sz w:val="22"/>
        </w:rPr>
        <w:t>生成设备OEE（综合设备效率）报表、能耗分析报告、维护成本分析报告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，为降本增效提供量化依据和优化策略。</w:t>
      </w:r>
    </w:p>
    <w:bookmarkEnd w:id="44"/>
    <w:bookmarkStart w:name="ucb1b8239" w:id="45"/>
    <w:p>
      <w:pPr>
        <w:numPr>
          <w:ilvl w:val="0"/>
          <w:numId w:val="2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数字化点检与巡检：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移动端APP赋能现场人员，实现无纸化、标准化、可追溯的点检与巡检。</w:t>
      </w:r>
    </w:p>
    <w:bookmarkEnd w:id="45"/>
    <w:bookmarkStart w:name="u2bff6a4a" w:id="46"/>
    <w:p>
      <w:pPr>
        <w:numPr>
          <w:ilvl w:val="0"/>
          <w:numId w:val="2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安全保障体系：构建坚固防线</w:t>
      </w:r>
    </w:p>
    <w:bookmarkEnd w:id="46"/>
    <w:bookmarkStart w:name="uea5de7f0" w:id="47"/>
    <w:p>
      <w:pPr>
        <w:numPr>
          <w:ilvl w:val="0"/>
          <w:numId w:val="2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设备运行风险预警（如过载、过热）：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预判设备本身或运行状态异常带来的安全风险。</w:t>
      </w:r>
    </w:p>
    <w:bookmarkEnd w:id="47"/>
    <w:bookmarkStart w:name="u620ced88" w:id="48"/>
    <w:p>
      <w:pPr>
        <w:numPr>
          <w:ilvl w:val="0"/>
          <w:numId w:val="2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环境联动监控（可选）：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可整合边坡雷达、气象站、气体传感器等环境感知设备数据，提供更全面的安全保障视角。</w:t>
      </w:r>
    </w:p>
    <w:bookmarkEnd w:id="48"/>
    <w:bookmarkStart w:name="uee193c55" w:id="49"/>
    <w:p>
      <w:pPr>
        <w:spacing w:after="50" w:line="360" w:lineRule="auto" w:beforeLines="100"/>
        <w:ind w:left="0"/>
        <w:jc w:val="left"/>
      </w:pPr>
      <w:bookmarkStart w:name="uec99c804" w:id="50"/>
      <w:r>
        <w:rPr>
          <w:rFonts w:eastAsia="宋体" w:ascii="宋体"/>
        </w:rPr>
        <w:drawing>
          <wp:inline distT="0" distB="0" distL="0" distR="0">
            <wp:extent cx="5842000" cy="134366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0"/>
    </w:p>
    <w:bookmarkEnd w:id="49"/>
    <w:bookmarkStart w:name="u0e9a550a" w:id="51"/>
    <w:p>
      <w:pPr>
        <w:spacing w:after="50" w:line="360" w:lineRule="auto" w:beforeLines="100"/>
        <w:ind w:left="0"/>
        <w:jc w:val="left"/>
      </w:pPr>
      <w:bookmarkStart w:name="u83447347" w:id="52"/>
      <w:r>
        <w:rPr>
          <w:rFonts w:eastAsia="宋体" w:ascii="宋体"/>
        </w:rPr>
        <w:drawing>
          <wp:inline distT="0" distB="0" distL="0" distR="0">
            <wp:extent cx="5841999" cy="213222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0" cy="613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2"/>
    </w:p>
    <w:bookmarkEnd w:id="51"/>
    <w:bookmarkStart w:name="u99501620" w:id="53"/>
    <w:p>
      <w:pPr>
        <w:numPr>
          <w:ilvl w:val="0"/>
          <w:numId w:val="2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显著降本：</w:t>
      </w:r>
    </w:p>
    <w:bookmarkEnd w:id="53"/>
    <w:bookmarkStart w:name="u28ba7afd" w:id="54"/>
    <w:p>
      <w:pPr>
        <w:numPr>
          <w:ilvl w:val="0"/>
          <w:numId w:val="2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减少非计划停机时间，大幅降低生产损失。</w:t>
      </w:r>
    </w:p>
    <w:bookmarkEnd w:id="54"/>
    <w:bookmarkStart w:name="u1f050bfb" w:id="55"/>
    <w:p>
      <w:pPr>
        <w:numPr>
          <w:ilvl w:val="0"/>
          <w:numId w:val="2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实现预测性维护，避免小故障演变为大修，</w:t>
      </w:r>
      <w:r>
        <w:rPr>
          <w:rFonts w:ascii="宋体" w:hAnsi="Times New Roman" w:eastAsia="宋体"/>
          <w:b/>
          <w:i w:val="false"/>
          <w:color w:val="5c8d07"/>
          <w:sz w:val="22"/>
        </w:rPr>
        <w:t>降低维修成本高达30%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。</w:t>
      </w:r>
    </w:p>
    <w:bookmarkEnd w:id="55"/>
    <w:bookmarkStart w:name="u6883fe7f" w:id="56"/>
    <w:p>
      <w:pPr>
        <w:numPr>
          <w:ilvl w:val="0"/>
          <w:numId w:val="2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优化备件库存，减少资金占用。</w:t>
      </w:r>
    </w:p>
    <w:bookmarkEnd w:id="56"/>
    <w:bookmarkStart w:name="ud7d0df27" w:id="57"/>
    <w:p>
      <w:pPr>
        <w:numPr>
          <w:ilvl w:val="0"/>
          <w:numId w:val="3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长效增效：</w:t>
      </w:r>
    </w:p>
    <w:bookmarkEnd w:id="57"/>
    <w:bookmarkStart w:name="u269454c6" w:id="58"/>
    <w:p>
      <w:pPr>
        <w:numPr>
          <w:ilvl w:val="0"/>
          <w:numId w:val="3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设备综合效率 </w:t>
      </w:r>
      <w:r>
        <w:rPr>
          <w:rFonts w:ascii="宋体" w:hAnsi="Times New Roman" w:eastAsia="宋体"/>
          <w:b/>
          <w:i w:val="false"/>
          <w:color w:val="5c8d07"/>
          <w:sz w:val="22"/>
        </w:rPr>
        <w:t>OEE 提升15-25%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58"/>
    <w:bookmarkStart w:name="ucd73d975" w:id="59"/>
    <w:p>
      <w:pPr>
        <w:numPr>
          <w:ilvl w:val="0"/>
          <w:numId w:val="3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设备资产全生命周期精细化管理，延长使用寿命。</w:t>
      </w:r>
    </w:p>
    <w:bookmarkEnd w:id="59"/>
    <w:bookmarkStart w:name="ua98d2c21" w:id="60"/>
    <w:p>
      <w:pPr>
        <w:numPr>
          <w:ilvl w:val="0"/>
          <w:numId w:val="3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运维效率显著提升，工单处理提速。</w:t>
      </w:r>
    </w:p>
    <w:bookmarkEnd w:id="60"/>
    <w:bookmarkStart w:name="u72e925c5" w:id="61"/>
    <w:p>
      <w:pPr>
        <w:numPr>
          <w:ilvl w:val="0"/>
          <w:numId w:val="3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安全筑牢：</w:t>
      </w:r>
    </w:p>
    <w:bookmarkEnd w:id="61"/>
    <w:bookmarkStart w:name="u9eb47b87" w:id="62"/>
    <w:p>
      <w:pPr>
        <w:numPr>
          <w:ilvl w:val="0"/>
          <w:numId w:val="3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实时掌控设备隐患，前置化预警通知，有效预防设备故障引发的安全事故。</w:t>
      </w:r>
    </w:p>
    <w:bookmarkEnd w:id="62"/>
    <w:bookmarkStart w:name="ud176efd2" w:id="63"/>
    <w:p>
      <w:pPr>
        <w:numPr>
          <w:ilvl w:val="0"/>
          <w:numId w:val="3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环境风险的数字化感知增强矿区整体安全水平。</w:t>
      </w:r>
    </w:p>
    <w:bookmarkEnd w:id="63"/>
    <w:bookmarkStart w:name="uc82d0d49" w:id="64"/>
    <w:p>
      <w:pPr>
        <w:numPr>
          <w:ilvl w:val="0"/>
          <w:numId w:val="3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决策智能：</w:t>
      </w:r>
    </w:p>
    <w:bookmarkEnd w:id="64"/>
    <w:bookmarkStart w:name="uc31ffa38" w:id="65"/>
    <w:p>
      <w:pPr>
        <w:numPr>
          <w:ilvl w:val="0"/>
          <w:numId w:val="3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数据驱动的决策替代经验管理，设备状态透明，资源配置更优。</w:t>
      </w:r>
    </w:p>
    <w:bookmarkEnd w:id="65"/>
    <w:bookmarkStart w:name="u63ef4d6a" w:id="66"/>
    <w:p>
      <w:pPr>
        <w:numPr>
          <w:ilvl w:val="0"/>
          <w:numId w:val="3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为设备更新、技改投资提供可靠依据。</w:t>
      </w:r>
    </w:p>
    <w:bookmarkEnd w:id="66"/>
    <w:bookmarkStart w:name="u6c08aec5" w:id="67"/>
    <w:p>
      <w:pPr>
        <w:numPr>
          <w:ilvl w:val="0"/>
          <w:numId w:val="4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转型加速：</w:t>
      </w:r>
    </w:p>
    <w:bookmarkEnd w:id="67"/>
    <w:bookmarkStart w:name="u1f7a5035" w:id="68"/>
    <w:p>
      <w:pPr>
        <w:numPr>
          <w:ilvl w:val="0"/>
          <w:numId w:val="4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“开箱即用”的一站式方案极大降低客户技术门槛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，快速实现运维智能化升级。</w:t>
      </w:r>
    </w:p>
    <w:bookmarkEnd w:id="68"/>
    <w:bookmarkStart w:name="ua1c2ceba" w:id="69"/>
    <w:p>
      <w:pPr>
        <w:numPr>
          <w:ilvl w:val="0"/>
          <w:numId w:val="4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轨物科技提供</w:t>
      </w:r>
      <w:r>
        <w:rPr>
          <w:rFonts w:ascii="宋体" w:hAnsi="Times New Roman" w:eastAsia="宋体"/>
          <w:b/>
          <w:i w:val="false"/>
          <w:color w:val="5c8d07"/>
          <w:sz w:val="22"/>
        </w:rPr>
        <w:t>全周期技术服务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，从部署、培训到持续优化升级，</w:t>
      </w:r>
      <w:r>
        <w:rPr>
          <w:rFonts w:ascii="宋体" w:hAnsi="Times New Roman" w:eastAsia="宋体"/>
          <w:b/>
          <w:i w:val="false"/>
          <w:color w:val="5c8d07"/>
          <w:sz w:val="22"/>
        </w:rPr>
        <w:t>长期陪伴客户成长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。</w:t>
      </w:r>
    </w:p>
    <w:bookmarkEnd w:id="69"/>
    <w:bookmarkStart w:name="u62908474" w:id="70"/>
    <w:p>
      <w:pPr>
        <w:spacing w:after="50" w:line="360" w:lineRule="auto" w:beforeLines="100"/>
        <w:ind w:left="0"/>
        <w:jc w:val="left"/>
      </w:pPr>
      <w:bookmarkStart w:name="u47cdded9" w:id="71"/>
      <w:r>
        <w:rPr>
          <w:rFonts w:eastAsia="宋体" w:ascii="宋体"/>
        </w:rPr>
        <w:drawing>
          <wp:inline distT="0" distB="0" distL="0" distR="0">
            <wp:extent cx="5841999" cy="213222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0" cy="613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1"/>
    </w:p>
    <w:bookmarkEnd w:id="70"/>
    <w:bookmarkStart w:name="u6377f05a" w:id="72"/>
    <w:p>
      <w:pPr>
        <w:spacing w:after="50" w:line="360" w:lineRule="auto" w:beforeLines="100"/>
        <w:ind w:left="0"/>
        <w:jc w:val="left"/>
      </w:pPr>
      <w:bookmarkStart w:name="ue770b5ec" w:id="73"/>
      <w:r>
        <w:rPr>
          <w:rFonts w:eastAsia="宋体" w:ascii="宋体"/>
        </w:rPr>
        <w:drawing>
          <wp:inline distT="0" distB="0" distL="0" distR="0">
            <wp:extent cx="5841999" cy="224322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0" cy="645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3"/>
    </w:p>
    <w:bookmarkEnd w:id="72"/>
    <w:bookmarkStart w:name="u1e0e1e75" w:id="74"/>
    <w:p>
      <w:pPr>
        <w:spacing w:after="50" w:line="360" w:lineRule="auto" w:beforeLines="100"/>
        <w:ind w:left="0"/>
        <w:jc w:val="left"/>
      </w:pPr>
      <w:bookmarkStart w:name="u081f7a4e" w:id="75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5"/>
    </w:p>
    <w:bookmarkEnd w:id="74"/>
    <w:bookmarkStart w:name="u9fee22aa" w:id="7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作为一家成立于2010年，并始终致力于通过 </w:t>
      </w:r>
      <w:r>
        <w:rPr>
          <w:rFonts w:ascii="宋体" w:hAnsi="Times New Roman" w:eastAsia="宋体"/>
          <w:b/>
          <w:i w:val="false"/>
          <w:color w:val="5c8d07"/>
          <w:sz w:val="22"/>
        </w:rPr>
        <w:t>“产学研用闭环” 加速成果落地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的科技企业，轨物科技深刻理解矿山领域智能化转型的复杂性与长期性。我们不仅销售产品，更提供</w:t>
      </w:r>
      <w:r>
        <w:rPr>
          <w:rFonts w:ascii="宋体" w:hAnsi="Times New Roman" w:eastAsia="宋体"/>
          <w:b/>
          <w:i w:val="false"/>
          <w:color w:val="5c8d07"/>
          <w:sz w:val="22"/>
        </w:rPr>
        <w:t>专业顾问服务与全程技术赋能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，结合新能源、电力装备等领域积累的丰富经验，将领先的AIoT技术无缝嵌入矿山生产核心环节。</w:t>
      </w:r>
    </w:p>
    <w:bookmarkEnd w:id="76"/>
    <w:bookmarkStart w:name="ufc4ffa7b" w:id="7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我们坚信，矿山机械的智能运维不是终点，而是企业高质量发展的新起点。轨物科技的</w:t>
      </w:r>
      <w:r>
        <w:rPr>
          <w:rFonts w:ascii="宋体" w:hAnsi="Times New Roman" w:eastAsia="宋体"/>
          <w:b/>
          <w:i w:val="false"/>
          <w:color w:val="5c8d07"/>
          <w:sz w:val="22"/>
        </w:rPr>
        <w:t>矿山机械远程运维物联网软硬件一站式解决方案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，将为您铺设一条</w:t>
      </w:r>
      <w:r>
        <w:rPr>
          <w:rFonts w:ascii="宋体" w:hAnsi="Times New Roman" w:eastAsia="宋体"/>
          <w:b/>
          <w:i w:val="false"/>
          <w:color w:val="5c8d07"/>
          <w:sz w:val="22"/>
        </w:rPr>
        <w:t>更简单、更高效、更成功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的智能化转型之路。</w:t>
      </w:r>
    </w:p>
    <w:bookmarkEnd w:id="77"/>
    <w:bookmarkStart w:name="u621e88cf" w:id="78"/>
    <w:p>
      <w:pPr>
        <w:spacing w:after="50" w:line="360" w:lineRule="auto" w:beforeLines="100"/>
        <w:ind w:left="0"/>
        <w:jc w:val="left"/>
      </w:pPr>
      <w:bookmarkStart w:name="u94551bce" w:id="79"/>
      <w:r>
        <w:rPr>
          <w:rFonts w:eastAsia="宋体" w:ascii="宋体"/>
        </w:rPr>
        <w:drawing>
          <wp:inline distT="0" distB="0" distL="0" distR="0">
            <wp:extent cx="5842000" cy="186354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453600" cy="716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9"/>
    </w:p>
    <w:bookmarkEnd w:id="78"/>
    <w:bookmarkStart w:name="u5ee24fb0" w:id="80"/>
    <w:p>
      <w:pPr>
        <w:spacing w:after="50" w:line="360" w:lineRule="auto" w:beforeLines="100"/>
        <w:ind w:left="0"/>
        <w:jc w:val="left"/>
      </w:pPr>
      <w:bookmarkStart w:name="ud9d15403" w:id="81"/>
      <w:r>
        <w:rPr>
          <w:rFonts w:eastAsia="宋体" w:ascii="宋体"/>
        </w:rPr>
        <w:drawing>
          <wp:inline distT="0" distB="0" distL="0" distR="0">
            <wp:extent cx="5841999" cy="182262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098934" cy="658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1"/>
    </w:p>
    <w:bookmarkEnd w:id="80"/>
    <w:bookmarkStart w:name="ue1a160fa" w:id="82"/>
    <w:p>
      <w:pPr>
        <w:spacing w:after="50" w:line="360" w:lineRule="auto" w:beforeLines="100"/>
        <w:ind w:left="0"/>
        <w:jc w:val="left"/>
      </w:pPr>
      <w:bookmarkStart w:name="u27440a10" w:id="83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3"/>
    </w:p>
    <w:bookmarkEnd w:id="82"/>
    <w:bookmarkStart w:name="u3a53a1e5" w:id="84"/>
    <w:p>
      <w:pPr>
        <w:spacing w:after="50" w:line="360" w:lineRule="auto" w:beforeLines="100"/>
        <w:ind w:left="0"/>
        <w:jc w:val="left"/>
      </w:pPr>
      <w:bookmarkStart w:name="u6ec5226f" w:id="85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5"/>
    </w:p>
    <w:bookmarkEnd w:id="84"/>
    <w:bookmarkStart w:name="u3ad692f3" w:id="86"/>
    <w:p>
      <w:pPr>
        <w:spacing w:after="50" w:line="360" w:lineRule="auto" w:beforeLines="100"/>
        <w:ind w:left="0"/>
        <w:jc w:val="left"/>
      </w:pPr>
      <w:bookmarkStart w:name="u58868ea7" w:id="87"/>
      <w:r>
        <w:rPr>
          <w:rFonts w:eastAsia="宋体" w:ascii="宋体"/>
        </w:rPr>
        <w:drawing>
          <wp:inline distT="0" distB="0" distL="0" distR="0">
            <wp:extent cx="5842000" cy="47904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8319063" cy="12162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7"/>
    </w:p>
    <w:bookmarkEnd w:id="86"/>
    <w:bookmarkStart w:name="ufe71732a" w:id="88"/>
    <w:p>
      <w:pPr>
        <w:spacing w:after="50" w:line="360" w:lineRule="auto" w:beforeLines="100"/>
        <w:ind w:left="0"/>
        <w:jc w:val="left"/>
      </w:pPr>
      <w:bookmarkStart w:name="u53be78f8" w:id="89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9"/>
      <w:bookmarkStart w:name="u947f8b87" w:id="90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0"/>
      <w:bookmarkStart w:name="u454adcb7" w:id="91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1"/>
      <w:bookmarkStart w:name="u2c944c31" w:id="92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2"/>
    </w:p>
    <w:bookmarkEnd w:id="8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3"/>
      <w:numFmt w:val="decimal"/>
      <w:lvlText w:val="%1.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4"/>
      <w:numFmt w:val="decimal"/>
      <w:lvlText w:val="%1."/>
      <w:lvlJc w:val="left"/>
      <w:pPr>
        <w:ind w:left="960" w:hanging="360"/>
      </w:p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5"/>
      <w:numFmt w:val="decimal"/>
      <w:lvlText w:val="%1."/>
      <w:lvlJc w:val="left"/>
      <w:pPr>
        <w:ind w:left="960" w:hanging="360"/>
      </w:p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26" Target="media/document_image_rId26.png" Type="http://schemas.openxmlformats.org/officeDocument/2006/relationships/image"/><Relationship Id="rId27" Target="media/document_image_rId27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