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【轨物洞见】唤醒沉睡的太阳能：老旧光伏电站的“逆生长”秘籍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mTMN1" w:id="0"/>
      <w:bookmarkStart w:name="QsLME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a3536de1" w:id="2"/>
    <w:p>
      <w:pPr>
        <w:spacing w:after="50" w:line="360" w:lineRule="auto" w:beforeLines="100"/>
        <w:ind w:left="0"/>
        <w:jc w:val="left"/>
      </w:pPr>
      <w:bookmarkStart w:name="iGldr" w:id="3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2d27ae16" w:id="4"/>
    <w:p>
      <w:pPr>
        <w:spacing w:after="50" w:line="360" w:lineRule="auto" w:beforeLines="100"/>
        <w:ind w:left="0"/>
        <w:jc w:val="left"/>
      </w:pPr>
      <w:bookmarkStart w:name="u5309a4b4" w:id="5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767360d4f3c7566274be3a0d98e38d55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您是否想过，家中的手机用了几年会变慢，电器用了十年性能会打折，而那些矗立在屋顶和田野，默默奉献了十余年的光伏电站，其实也面临着同样的问题。在中国，随着光伏产业的飞速发展，早期建设的大量电站正集体步入“中年”，面临着“变老变慢”的困境。</w:t>
      </w:r>
    </w:p>
    <w:bookmarkEnd w:id="6"/>
    <w:bookmarkStart w:name="9d29a7899ee64bda2cc179a80f600ee3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然而，这并不意味着它们只能走向衰败。一种被称为“</w:t>
      </w:r>
      <w:r>
        <w:rPr>
          <w:rFonts w:ascii="宋体" w:hAnsi="Times New Roman" w:eastAsia="宋体"/>
          <w:b/>
          <w:i w:val="false"/>
          <w:color w:val="07787e"/>
          <w:sz w:val="22"/>
        </w:rPr>
        <w:t>技术改造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升级魔法，正悄然上演。它如同一次精准的“心脏搭桥”与“大脑升级”手术，能让这些老旧电站重焕新生，发电能力甚至超越当年。本文将带您深入探索，揭示这场“逆生长”背后的科学原理、关键技术以及它所蕴含的巨大价值。</w:t>
      </w:r>
    </w:p>
    <w:bookmarkEnd w:id="7"/>
    <w:bookmarkStart w:name="36a527acb65452885b34c19cca85939d" w:id="8"/>
    <w:p>
      <w:pPr>
        <w:spacing w:after="50" w:line="360" w:lineRule="auto" w:beforeLines="100"/>
        <w:ind w:left="0"/>
        <w:jc w:val="left"/>
      </w:pPr>
      <w:bookmarkStart w:name="FBFU0" w:id="9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u3e6e424e" w:id="10"/>
    <w:p>
      <w:pPr>
        <w:spacing w:after="50" w:line="360" w:lineRule="auto" w:beforeLines="100"/>
        <w:ind w:left="0"/>
        <w:jc w:val="left"/>
      </w:pPr>
      <w:bookmarkStart w:name="u1e683370" w:id="11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70132" cy="2492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a82e88e33577ef832e67a7f41fd9237e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光伏电站的升级改造并非心血来潮，而是源于设备、技术和运维模式共同作用下产生的现实问题。</w:t>
      </w:r>
    </w:p>
    <w:bookmarkEnd w:id="12"/>
    <w:bookmarkStart w:name="b53931080e1ce228d3941b5799d20d76" w:id="13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设备的老化与衰减：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光伏组件的设计寿命通常为25年，但就像手机电池一样，其发电性能会随着时间自然衰减。对于那些已运行超过10年的电站，设备老化是不可避免的。一份针对某典型光伏电站的研究案例显示，其光伏组件的年均功率衰减率达到了</w:t>
      </w:r>
      <w:r>
        <w:rPr>
          <w:rFonts w:ascii="宋体" w:hAnsi="Times New Roman" w:eastAsia="宋体"/>
          <w:b/>
          <w:i w:val="false"/>
          <w:color w:val="07787e"/>
          <w:sz w:val="22"/>
        </w:rPr>
        <w:t>0.89%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，这意味着发电量每年都在悄无声息地流失。</w:t>
      </w:r>
    </w:p>
    <w:bookmarkEnd w:id="13"/>
    <w:bookmarkStart w:name="cf3d9ac59ddfdd4d7c9e4c1780ad3b00" w:id="14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飞速迭代的技术鸿沟：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过去十几年，光伏技术经历了天翻地覆的变化。这种进步速度之快，让早期电站的设备显得格格不入。让我们来看一组惊人的数据对比：</w:t>
      </w:r>
    </w:p>
    <w:bookmarkEnd w:id="14"/>
    <w:bookmarkStart w:name="c575c1fa6cf91015e7b630a411a4a7eb" w:id="15"/>
    <w:p>
      <w:pPr>
        <w:numPr>
          <w:ilvl w:val="1"/>
          <w:numId w:val="2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价格断崖式下跌：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从2007年到2023年，光伏组件的单瓦价格从</w:t>
      </w:r>
      <w:r>
        <w:rPr>
          <w:rFonts w:ascii="宋体" w:hAnsi="Times New Roman" w:eastAsia="宋体"/>
          <w:b/>
          <w:i w:val="false"/>
          <w:color w:val="07787e"/>
          <w:sz w:val="22"/>
        </w:rPr>
        <w:t>38元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降至</w:t>
      </w:r>
      <w:r>
        <w:rPr>
          <w:rFonts w:ascii="宋体" w:hAnsi="Times New Roman" w:eastAsia="宋体"/>
          <w:b/>
          <w:i w:val="false"/>
          <w:color w:val="07787e"/>
          <w:sz w:val="22"/>
        </w:rPr>
        <w:t>0.7元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左右，降幅高达</w:t>
      </w:r>
      <w:r>
        <w:rPr>
          <w:rFonts w:ascii="宋体" w:hAnsi="Times New Roman" w:eastAsia="宋体"/>
          <w:b/>
          <w:i w:val="false"/>
          <w:color w:val="07787e"/>
          <w:sz w:val="22"/>
        </w:rPr>
        <w:t>98%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！</w:t>
      </w:r>
    </w:p>
    <w:bookmarkEnd w:id="15"/>
    <w:bookmarkStart w:name="96060ab34c7bf30446b203372b9de24c" w:id="16"/>
    <w:p>
      <w:pPr>
        <w:numPr>
          <w:ilvl w:val="1"/>
          <w:numId w:val="2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成本大幅度优化：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光伏电站的系统成本也从每瓦60元降低至4元以下，降幅超过</w:t>
      </w:r>
      <w:r>
        <w:rPr>
          <w:rFonts w:ascii="宋体" w:hAnsi="Times New Roman" w:eastAsia="宋体"/>
          <w:b/>
          <w:i w:val="false"/>
          <w:color w:val="07787e"/>
          <w:sz w:val="22"/>
        </w:rPr>
        <w:t>93%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 这意味着，如今的新设备不仅发电效率更高，而且成本也远低于过去。巨大的技术代差为升级改造创造了极具吸引力的经济空间。</w:t>
      </w:r>
    </w:p>
    <w:bookmarkEnd w:id="16"/>
    <w:bookmarkStart w:name="fe3b85f236df18fbeb11180c0cb5b444" w:id="17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落后的“手动”运维模式：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许多老旧电站依然依赖传统的人工巡检模式。这种方式不仅效率低下、人力成本高昂，更致命的是，它难以发现一些深层次的“病症”，例如光伏板内部的</w:t>
      </w:r>
      <w:r>
        <w:rPr>
          <w:rFonts w:ascii="宋体" w:hAnsi="Times New Roman" w:eastAsia="宋体"/>
          <w:b/>
          <w:i w:val="false"/>
          <w:color w:val="07787e"/>
          <w:sz w:val="22"/>
        </w:rPr>
        <w:t>组件隐裂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或</w:t>
      </w:r>
      <w:r>
        <w:rPr>
          <w:rFonts w:ascii="宋体" w:hAnsi="Times New Roman" w:eastAsia="宋体"/>
          <w:b/>
          <w:i w:val="false"/>
          <w:color w:val="07787e"/>
          <w:sz w:val="22"/>
        </w:rPr>
        <w:t>热斑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。这些隐藏的缺陷会持续侵蚀电站的发电量，而传统运维手段对此往往束手无策。</w:t>
      </w:r>
    </w:p>
    <w:bookmarkEnd w:id="17"/>
    <w:bookmarkStart w:name="151e23f186ddea39b36e0b21a321198b" w:id="18"/>
    <w:p>
      <w:pPr>
        <w:spacing w:after="50" w:line="360" w:lineRule="auto" w:beforeLines="100"/>
        <w:ind w:left="0"/>
        <w:jc w:val="left"/>
      </w:pPr>
      <w:bookmarkStart w:name="bOTZq" w:id="19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4565ac51a34b84c17015fa3a10e916e7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“容配比”是光伏电站设计中的一个关键参数，我们可以用一个简单的比喻来理解它。</w:t>
      </w:r>
    </w:p>
    <w:bookmarkEnd w:id="20"/>
    <w:bookmarkStart w:name="45a4bd77204924ea7d762ffb87a585e7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想象一下，逆变器（将直流电转换成交流电的核心设备）是一个</w:t>
      </w:r>
      <w:r>
        <w:rPr>
          <w:rFonts w:ascii="宋体" w:hAnsi="Times New Roman" w:eastAsia="宋体"/>
          <w:b/>
          <w:i w:val="false"/>
          <w:color w:val="07787e"/>
          <w:sz w:val="22"/>
        </w:rPr>
        <w:t>水龙头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，它的出水速度是固定的。而光伏组件的总容量就是给这个水龙头配备的</w:t>
      </w:r>
      <w:r>
        <w:rPr>
          <w:rFonts w:ascii="宋体" w:hAnsi="Times New Roman" w:eastAsia="宋体"/>
          <w:b/>
          <w:i w:val="false"/>
          <w:color w:val="07787e"/>
          <w:sz w:val="22"/>
        </w:rPr>
        <w:t>水池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。“容配比”就是水池大小与水龙头出水速度的比值。</w:t>
      </w:r>
    </w:p>
    <w:bookmarkEnd w:id="21"/>
    <w:bookmarkStart w:name="230bc50adb43da50e6504019a456e476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过去，我们倾向于给水龙头配一个大小刚刚好的水池。但科学家和工程师们发现，如果把水池（光伏组件容量）做得更大一些，即使在水压不高（早晨、傍晚或阴天光照不强）的时候，水龙头也能持续有水流出。这样一来，虽然在中午水最满（光照最强）的时候可能会有一些水溢出（弃光），但全天下来，收集到的总水量（总发电量）却大大增加了。这就是“容配比优化”的核心思想。这一看似简单的调整，却能让逆变器在早晚光照较弱时“早开工、晚收工”，显著增加全天的总发电时长和发电量，从而在不增加土地占用的情况下提升电站的整体收益。</w:t>
      </w:r>
    </w:p>
    <w:bookmarkEnd w:id="22"/>
    <w:bookmarkStart w:name="u43f4ba69" w:id="23"/>
    <w:p>
      <w:pPr>
        <w:spacing w:after="50" w:line="360" w:lineRule="auto" w:beforeLines="100"/>
        <w:ind w:left="0"/>
        <w:jc w:val="left"/>
      </w:pPr>
      <w:bookmarkStart w:name="ua86cc5e7" w:id="24"/>
      <w:r>
        <w:rPr>
          <w:rFonts w:eastAsia="宋体" w:ascii="宋体"/>
        </w:rPr>
        <w:drawing>
          <wp:inline distT="0" distB="0" distL="0" distR="0">
            <wp:extent cx="5842000" cy="325982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49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4e518b77744f7fda20eb2a26d36b2c2c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优化容配比的核心好处：</w:t>
      </w:r>
    </w:p>
    <w:bookmarkEnd w:id="25"/>
    <w:bookmarkStart w:name="a793ce0358089f803734fb17530f9295" w:id="26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提升发电量与收益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科学地提高容配比，电站可以更充分地利用宝贵的土地和电网资源。尤其是在早晚光照不强的时段，超配的组件能够让逆变器更早启动、更晚关停，从而“压榨”出更多的发电量。这直接带来了度电成本的降低和整体经济效益的提升。</w:t>
      </w:r>
    </w:p>
    <w:bookmarkEnd w:id="26"/>
    <w:bookmarkStart w:name="a7b538ba26058f523aed27a1721fc15a" w:id="27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政策支持与合规性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这并非“钻空子”，而是一种受国家鼓励的科学优化方式。国家能源局在答复中明确指出，选择合适的容配比有利于提升经济效益，并可以参照国家标准《光伏发电系统效能规范》（NB/T 10394-2020）。该规范的发布，为存量电站提高容配比的技术改造提供了明确的政策依据。</w:t>
      </w:r>
    </w:p>
    <w:bookmarkEnd w:id="27"/>
    <w:bookmarkStart w:name="46b280a2e4fba182d11fe4e4c213fa50" w:id="28"/>
    <w:p>
      <w:pPr>
        <w:spacing w:after="50" w:line="360" w:lineRule="auto" w:beforeLines="100"/>
        <w:ind w:left="0"/>
        <w:jc w:val="left"/>
      </w:pPr>
      <w:bookmarkStart w:name="ujVkT" w:id="29"/>
      <w:r>
        <w:rPr>
          <w:rFonts w:eastAsia="宋体" w:ascii="宋体"/>
        </w:rPr>
        <w:drawing>
          <wp:inline distT="0" distB="0" distL="0" distR="0">
            <wp:extent cx="5842000" cy="1308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72687e83783919a82b7721f836dc7e5f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一场成功的技术改造，是硬件升级与软件智能化的完美结合，如同为老旧的躯体换上强大的“心脏”，并植入智慧的“大脑”。</w:t>
      </w:r>
    </w:p>
    <w:bookmarkEnd w:id="30"/>
    <w:bookmarkStart w:name="WjKKr" w:id="31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3.1 更换强大的“心脏”：硬件升级</w:t>
      </w:r>
    </w:p>
    <w:bookmarkEnd w:id="31"/>
    <w:bookmarkStart w:name="154fbc28f14687204d898faa93b98b79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这是改造的基础。核心工作是更换那些效率低下、严重衰减的老旧光伏组件和逆变器。通过换上当前主流的高功率、高效率新设备，从根本上提升电站的发电潜力，为后续的效益提升奠定坚实的物理基础。</w:t>
      </w:r>
    </w:p>
    <w:bookmarkEnd w:id="32"/>
    <w:bookmarkStart w:name="u3ffe39ba" w:id="33"/>
    <w:p>
      <w:pPr>
        <w:spacing w:after="50" w:line="360" w:lineRule="auto" w:beforeLines="100"/>
        <w:ind w:left="0"/>
        <w:jc w:val="left"/>
      </w:pPr>
      <w:bookmarkStart w:name="hlZ8w" w:id="34"/>
      <w:r>
        <w:rPr>
          <w:rFonts w:eastAsia="宋体" w:ascii="宋体"/>
        </w:rPr>
        <w:drawing>
          <wp:inline distT="0" distB="0" distL="0" distR="0">
            <wp:extent cx="5842000" cy="287425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670132" cy="21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8PEE5" w:id="35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3.2 安装智慧的“大脑”：运维智能化升级</w:t>
      </w:r>
    </w:p>
    <w:bookmarkEnd w:id="35"/>
    <w:bookmarkStart w:name="2b4620baf21c3f33f7be0e041183903b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这是技术改造中最具革命性的一步，它将电站从“劳动密集型”带入“技术密集型”的新时代。以轨物科技提供的解决方案为例，一系列智能化工具正在重塑电站的运维模式。</w:t>
      </w:r>
    </w:p>
    <w:bookmarkEnd w:id="36"/>
    <w:bookmarkStart w:name="u250ff20f" w:id="37"/>
    <w:p>
      <w:pPr>
        <w:spacing w:after="50" w:line="360" w:lineRule="auto" w:beforeLines="100"/>
        <w:ind w:left="0"/>
        <w:jc w:val="left"/>
      </w:pPr>
      <w:bookmarkStart w:name="u4e042470" w:id="38"/>
      <w:r>
        <w:rPr>
          <w:rFonts w:eastAsia="宋体" w:ascii="宋体"/>
        </w:rPr>
        <w:drawing>
          <wp:inline distT="0" distB="0" distL="0" distR="0">
            <wp:extent cx="5841999" cy="423492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9734" cy="428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9ba126fb640c1764b8f3343d2f6279d5" w:id="39"/>
    <w:p>
      <w:pPr>
        <w:spacing w:after="50" w:line="360" w:lineRule="auto" w:beforeLines="100"/>
        <w:ind w:left="0"/>
        <w:jc w:val="left"/>
      </w:pPr>
      <w:bookmarkStart w:name="tdvMw" w:id="40"/>
      <w:r>
        <w:rPr>
          <w:rFonts w:eastAsia="宋体" w:ascii="宋体"/>
        </w:rPr>
        <w:drawing>
          <wp:inline distT="0" distB="0" distL="0" distR="0">
            <wp:extent cx="5842000" cy="1308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7b33231d" w:id="41"/>
    <w:p>
      <w:pPr>
        <w:spacing w:after="50" w:line="360" w:lineRule="auto" w:beforeLines="100"/>
        <w:ind w:left="0"/>
        <w:jc w:val="left"/>
      </w:pPr>
      <w:bookmarkStart w:name="u3dd274c5" w:id="42"/>
      <w:r>
        <w:rPr>
          <w:rFonts w:eastAsia="宋体" w:ascii="宋体"/>
        </w:rPr>
        <w:drawing>
          <wp:inline distT="0" distB="0" distL="0" distR="0">
            <wp:extent cx="5842000" cy="325982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49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dbecccb6b9685b0be0ef9229821ea51f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对存量光伏电站进行技术改造，其意义远不止是简单的设备维修和产量提升。它是一场面向未来的深刻变革，其价值体现在三个层面：</w:t>
      </w:r>
    </w:p>
    <w:bookmarkEnd w:id="43"/>
    <w:bookmarkStart w:name="fe7122dbacd61b817d10ed276183e473" w:id="44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对于电站业主：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这是一次提升资产价值、获得更高投资回报的明智决策。</w:t>
      </w:r>
    </w:p>
    <w:bookmarkEnd w:id="44"/>
    <w:bookmarkStart w:name="765c83c54e81396ce957b086c0d6336d" w:id="45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 xml:space="preserve">对于光伏行业：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这是有效盘活存量资产，利用稀缺土地和电网资源，推动产业高质量发展的关键路径。</w:t>
      </w:r>
    </w:p>
    <w:bookmarkEnd w:id="45"/>
    <w:bookmarkStart w:name="dcbf10a7db82d8c763e897d45f0137c9" w:id="46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对于国家“双碳”目标：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这是唤醒沉睡的绿色资产潜力，为中国的清洁能源转型注入源源不断新动力的重要举措。</w:t>
      </w:r>
    </w:p>
    <w:bookmarkEnd w:id="46"/>
    <w:bookmarkStart w:name="8f9aa75781814a9f6a2706d9dcffa5a4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每一次对老旧电站的智慧升级，都是在为我们的绿色未来，重新擦亮一颗颗沉睡的太阳。</w:t>
      </w:r>
    </w:p>
    <w:bookmarkEnd w:id="47"/>
    <w:bookmarkStart w:name="a4963993c54174424e5beae170686efb" w:id="48"/>
    <w:p>
      <w:pPr>
        <w:spacing w:after="50" w:line="360" w:lineRule="auto" w:beforeLines="100"/>
        <w:ind w:left="0"/>
        <w:jc w:val="left"/>
      </w:pPr>
      <w:bookmarkStart w:name="sG7v2" w:id="49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8"/>
    <w:bookmarkStart w:name="u31a12f69" w:id="50"/>
    <w:p>
      <w:pPr>
        <w:spacing w:after="50" w:line="360" w:lineRule="auto" w:beforeLines="100"/>
        <w:ind w:left="0"/>
        <w:jc w:val="left"/>
      </w:pPr>
      <w:bookmarkStart w:name="PdfG4" w:id="51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bookmarkStart w:name="ue1c7c5b5" w:id="52"/>
    <w:p>
      <w:pPr>
        <w:spacing w:after="50" w:line="360" w:lineRule="auto" w:beforeLines="100"/>
        <w:ind w:left="0"/>
        <w:jc w:val="left"/>
      </w:pPr>
      <w:bookmarkStart w:name="kCKM3" w:id="53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</w:p>
    <w:bookmarkEnd w:id="52"/>
    <w:bookmarkStart w:name="u53381b51" w:id="54"/>
    <w:p>
      <w:pPr>
        <w:spacing w:after="50" w:line="360" w:lineRule="auto" w:beforeLines="100"/>
        <w:ind w:left="0"/>
        <w:jc w:val="left"/>
      </w:pPr>
      <w:bookmarkStart w:name="uMuPP" w:id="55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5"/>
    </w:p>
    <w:bookmarkEnd w:id="54"/>
    <w:bookmarkStart w:name="u9c84a40e" w:id="56"/>
    <w:p>
      <w:pPr>
        <w:spacing w:after="50" w:line="360" w:lineRule="auto" w:beforeLines="100"/>
        <w:ind w:left="0"/>
        <w:jc w:val="left"/>
      </w:pPr>
      <w:bookmarkStart w:name="u907e5672" w:id="57"/>
      <w:r>
        <w:rPr>
          <w:rFonts w:eastAsia="宋体" w:ascii="宋体"/>
        </w:rPr>
        <w:drawing>
          <wp:inline distT="0" distB="0" distL="0" distR="0">
            <wp:extent cx="5841999" cy="7944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308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bookmarkEnd w:id="56"/>
    <w:bookmarkStart w:name="ud88f7ae6" w:id="58"/>
    <w:p>
      <w:pPr>
        <w:spacing w:after="50" w:line="360" w:lineRule="auto" w:beforeLines="100"/>
        <w:ind w:left="0"/>
        <w:jc w:val="left"/>
      </w:pPr>
      <w:bookmarkStart w:name="u470cfd9f" w:id="59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  <w:bookmarkStart w:name="ucb311e2a" w:id="60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  <w:bookmarkStart w:name="uc1a4bcd0" w:id="61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  <w:bookmarkStart w:name="ue6de5cc8" w:id="62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5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1">
      <w:start w:val="1"/>
      <w:numFmt w:val="lowerLetter"/>
      <w:lvlText w:val="%2."/>
      <w:lvlJc w:val="left"/>
      <w:pPr>
        <w:ind w:left="1560" w:hanging="360"/>
      </w:pPr>
    </w:lvl>
  </w:abstractNum>
  <w:abstractNum w:abstractNumId="3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