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vnd.openxmlformats-officedocument.wordprocessingml.document.main+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image/png" PartName="/word/media/document_image_rId4.png"/>
  <Override ContentType="image/png" PartName="/word/media/document_image_rId5.png"/>
  <Override ContentType="image/png" PartName="/word/media/document_image_rId6.png"/>
  <Override ContentType="image/png" PartName="/word/media/document_image_rId7.png"/>
  <Override ContentType="image/png" PartName="/word/media/document_image_rId8.png"/>
  <Override ContentType="image/png" PartName="/word/media/document_image_rId9.png"/>
  <Override ContentType="image/png" PartName="/word/media/document_image_rId10.png"/>
  <Override ContentType="image/png" PartName="/word/media/document_image_rId11.png"/>
  <Override ContentType="image/png" PartName="/word/media/document_image_rId12.png"/>
  <Override ContentType="image/png" PartName="/word/media/document_image_rId13.png"/>
  <Override ContentType="image/png" PartName="/word/media/document_image_rId14.png"/>
  <Override ContentType="image/png" PartName="/word/media/document_image_rId15.png"/>
  <Override ContentType="image/png" PartName="/word/media/document_image_rId16.png"/>
  <Override ContentType="image/png" PartName="/word/media/document_image_rId17.png"/>
  <Override ContentType="image/png" PartName="/word/media/document_image_rId18.png"/>
  <Override ContentType="image/png" PartName="/word/media/document_image_rId19.png"/>
  <Override ContentType="image/png" PartName="/word/media/document_image_rId20.png"/>
  <Override ContentType="image/png" PartName="/word/media/document_image_rId21.png"/>
  <Override ContentType="image/png" PartName="/word/media/document_image_rId22.png"/>
  <Override ContentType="image/png" PartName="/word/media/document_image_rId23.png"/>
  <Override ContentType="image/png" PartName="/word/media/document_image_rId24.png"/>
  <Override ContentType="image/png" PartName="/word/media/document_image_rId25.pn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Created by docx4j 6.1.2 (Apache licensed) using REFERENCE JAXB in Oracle Java 1.8.0_131 on Linux -->
    <w:p>
      <w:pPr>
        <w:pStyle w:val="Heading1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【轨物方案】赋能存量，智启未来：老旧电站“数字化焕新”的战略蓝图与技术路径</w:t>
      </w:r>
    </w:p>
    <w:p>
      <w:pPr>
        <w:pStyle w:val="Heading1"/>
        <w:spacing w:after="50" w:line="360" w:lineRule="auto" w:beforeLines="100"/>
        <w:ind w:left="0"/>
        <w:jc w:val="left"/>
      </w:pPr>
      <w:bookmarkStart w:name="t3yj5" w:id="0"/>
      <w:bookmarkStart w:name="QsLME" w:id="1"/>
      <w:r>
        <w:rPr>
          <w:rFonts w:eastAsia="宋体" w:ascii="宋体"/>
        </w:rPr>
        <w:drawing>
          <wp:inline distT="0" distB="0" distL="0" distR="0">
            <wp:extent cx="5842000" cy="37972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487466" cy="146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bookmarkEnd w:id="0"/>
    <w:bookmarkStart w:name="ua3536de1" w:id="2"/>
    <w:p>
      <w:pPr>
        <w:spacing w:after="50" w:line="360" w:lineRule="auto" w:beforeLines="100"/>
        <w:ind w:left="0"/>
        <w:jc w:val="left"/>
      </w:pPr>
      <w:bookmarkStart w:name="iGldr" w:id="3"/>
      <w:r>
        <w:rPr>
          <w:rFonts w:eastAsia="宋体" w:ascii="宋体"/>
        </w:rPr>
        <w:drawing>
          <wp:inline distT="0" distB="0" distL="0" distR="0">
            <wp:extent cx="5842000" cy="36803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487466" cy="1416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"/>
    </w:p>
    <w:bookmarkEnd w:id="2"/>
    <w:bookmarkStart w:name="u168e7cb1" w:id="4"/>
    <w:p>
      <w:pPr>
        <w:spacing w:after="50" w:line="360" w:lineRule="auto" w:beforeLines="100"/>
        <w:ind w:left="0"/>
        <w:jc w:val="left"/>
      </w:pPr>
      <w:bookmarkStart w:name="ua0ed7325" w:id="5"/>
      <w:r>
        <w:rPr>
          <w:rFonts w:eastAsia="宋体" w:ascii="宋体"/>
        </w:rPr>
        <w:drawing>
          <wp:inline distT="0" distB="0" distL="0" distR="0">
            <wp:extent cx="5842000" cy="130860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0" cy="3925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"/>
    </w:p>
    <w:bookmarkEnd w:id="4"/>
    <w:bookmarkStart w:name="9dee23261ebca1d733c068d165f56059" w:id="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中国光伏产业的辉煌成就之下，一个规模庞大、亟待唤醒的存量资产市场正成为新的价值蓝海。截至“十四五”末，我国将有大量光伏电站陆续进入“</w:t>
      </w:r>
      <w:r>
        <w:rPr>
          <w:rFonts w:ascii="宋体" w:hAnsi="Times New Roman" w:eastAsia="宋体"/>
          <w:b/>
          <w:i w:val="false"/>
          <w:color w:val="07787e"/>
          <w:sz w:val="22"/>
        </w:rPr>
        <w:t>退役期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”或</w:t>
      </w:r>
      <w:r>
        <w:rPr>
          <w:rFonts w:ascii="宋体" w:hAnsi="Times New Roman" w:eastAsia="宋体"/>
          <w:b/>
          <w:i w:val="false"/>
          <w:color w:val="07787e"/>
          <w:sz w:val="22"/>
        </w:rPr>
        <w:t>性能衰退期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，其中运行超过10年的电站规模已相当可观。这些沉睡的资产，正迎来一个前所未有的价值重塑机遇。</w:t>
      </w:r>
    </w:p>
    <w:bookmarkEnd w:id="6"/>
    <w:bookmarkStart w:name="656961021e7e734a1cdf7750dc010554" w:id="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一方面，技术迭代为改造创造了巨大的经济空间。过去十年，光伏组件和系统成本下降了90%以上，而转换效率却稳步提升，这使得老旧电站的升级改造具备了极高的投入产出比。另一方面，产业政策的成熟，如平价上网时代的到来和可再生能源电力消纳保障机制的全面实施，进一步凸显了存量电站的隐性价值。据统计，全国具备技改空间的存量光伏电站规模约为16.3GW，若全部进行改造，可拉动近400亿元的投资。</w:t>
      </w:r>
    </w:p>
    <w:bookmarkEnd w:id="7"/>
    <w:bookmarkStart w:name="u310ef8ea" w:id="8"/>
    <w:p>
      <w:pPr>
        <w:spacing w:after="50" w:line="360" w:lineRule="auto" w:beforeLines="100"/>
        <w:ind w:left="0"/>
        <w:jc w:val="left"/>
      </w:pPr>
      <w:bookmarkStart w:name="AL2YF" w:id="9"/>
      <w:r>
        <w:rPr>
          <w:rFonts w:eastAsia="宋体" w:ascii="宋体"/>
        </w:rPr>
        <w:drawing>
          <wp:inline distT="0" distB="0" distL="0" distR="0">
            <wp:extent cx="5842000" cy="3259821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653200" cy="24916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9"/>
    </w:p>
    <w:bookmarkEnd w:id="8"/>
    <w:bookmarkStart w:name="35c3d6f9268e139053e6c4f2f9810990" w:id="1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本文将基于理性的战略分析，深入探讨老旧电站如何通过“</w:t>
      </w:r>
      <w:r>
        <w:rPr>
          <w:rFonts w:ascii="宋体" w:hAnsi="Times New Roman" w:eastAsia="宋体"/>
          <w:b/>
          <w:i w:val="false"/>
          <w:color w:val="07787e"/>
          <w:sz w:val="22"/>
        </w:rPr>
        <w:t>数字化焕新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”，从简单的设备更替走向系统性的价值跃升，并详细介绍轨物科技在该领域提供的核心技术与全栈解决方案。</w:t>
      </w:r>
    </w:p>
    <w:bookmarkEnd w:id="10"/>
    <w:bookmarkStart w:name="a5Fok" w:id="11"/>
    <w:p>
      <w:pPr>
        <w:pStyle w:val="Heading3"/>
        <w:spacing w:after="50" w:line="360" w:lineRule="auto" w:beforeLines="100"/>
        <w:ind w:left="0"/>
        <w:jc w:val="left"/>
      </w:pPr>
      <w:bookmarkStart w:name="aqJZ2" w:id="12"/>
      <w:r>
        <w:rPr>
          <w:rFonts w:eastAsia="宋体" w:ascii="宋体"/>
        </w:rPr>
        <w:drawing>
          <wp:inline distT="0" distB="0" distL="0" distR="0">
            <wp:extent cx="5841999" cy="137280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559867" cy="4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2"/>
    </w:p>
    <w:bookmarkEnd w:id="11"/>
    <w:bookmarkStart w:name="6bef0aa175e6c038c214b3fbc80312e4" w:id="1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存量电站的升级改造并非锦上添花，而是应对现实挑战、保障资产收益的必然选择。其背后，是设备、运维和并网三大层面的严峻考验。</w:t>
      </w:r>
    </w:p>
    <w:bookmarkEnd w:id="13"/>
    <w:bookmarkStart w:name="66bf95b18689eb607398eba533dbc2d6" w:id="1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设备老化与效率衰减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：早期电站普遍存在设计不规范、设备老化等问题。光伏组件因隐裂、PID效应等因素导致功率衰减加剧，逆变器等核心设备转换效率逐年下降，直接后果就是发电量远低于设计预期。</w:t>
      </w:r>
    </w:p>
    <w:bookmarkEnd w:id="14"/>
    <w:bookmarkStart w:name="a5b2ed99a05ea9125e2d3f29c224a495" w:id="1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运维成本高昂与模式落后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 xml:space="preserve"> 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传统运维高度依赖人工巡检和定期维护，不仅人力成本高昂，而且故障排查效率低下。由于缺乏实时监测与智能化分析能力，大量潜在问题无法被及时发现和处理，导致发电损失累积。</w:t>
      </w:r>
    </w:p>
    <w:bookmarkEnd w:id="15"/>
    <w:bookmarkStart w:name="6e0e2d712dfdd32842cd1a44c3ba4e5b" w:id="1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并网要求趋严与安全风险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 xml:space="preserve"> 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随着电网技术的进步，对光伏电站的并网性能要求日益严格，包括AGC/AVC自动控制、无功补偿能力、电力监控系统安全防护等。老旧设备难以满足新的并网标准，不仅影响电站收益，更潜藏着并网安全风险。</w:t>
      </w:r>
    </w:p>
    <w:bookmarkEnd w:id="16"/>
    <w:bookmarkStart w:name="09abf3394f7bfadb5086194dd27ea870" w:id="1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基于以上挑战，技术改造的根本动因清晰明确，其核心目标可以归结为四点：</w:t>
      </w:r>
      <w:r>
        <w:rPr>
          <w:rFonts w:ascii="宋体" w:hAnsi="Times New Roman" w:eastAsia="宋体"/>
          <w:b/>
          <w:i w:val="false"/>
          <w:color w:val="07787e"/>
          <w:sz w:val="22"/>
        </w:rPr>
        <w:t>提高设备效率与发电量、提升设备安全性、增强故障快速处理能力、降低运营运维成本。</w:t>
      </w:r>
    </w:p>
    <w:bookmarkEnd w:id="17"/>
    <w:bookmarkStart w:name="vmJpK" w:id="18"/>
    <w:p>
      <w:pPr>
        <w:pStyle w:val="Heading3"/>
        <w:spacing w:after="50" w:line="360" w:lineRule="auto" w:beforeLines="100"/>
        <w:ind w:left="0"/>
        <w:jc w:val="left"/>
      </w:pPr>
      <w:bookmarkStart w:name="Ye716" w:id="19"/>
      <w:r>
        <w:rPr>
          <w:rFonts w:eastAsia="宋体" w:ascii="宋体"/>
        </w:rPr>
        <w:drawing>
          <wp:inline distT="0" distB="0" distL="0" distR="0">
            <wp:extent cx="5842000" cy="134366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0" cy="403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9"/>
    </w:p>
    <w:bookmarkEnd w:id="18"/>
    <w:bookmarkStart w:name="b9357633d3ba6961853e264c96f2bd08" w:id="2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老旧电站的改造是一项系统工程，必须摒弃“头痛医头”的零散思维，采用科学的方法论。一个完整且高效的技改流程应遵循“诊断—目标—方案组合—实施验证”的四步法路径。</w:t>
      </w:r>
    </w:p>
    <w:bookmarkEnd w:id="20"/>
    <w:bookmarkStart w:name="ufc365efe" w:id="21"/>
    <w:p>
      <w:pPr>
        <w:spacing w:after="50" w:line="360" w:lineRule="auto" w:beforeLines="100"/>
        <w:ind w:left="0"/>
        <w:jc w:val="left"/>
      </w:pPr>
      <w:bookmarkStart w:name="u55d55b50" w:id="22"/>
      <w:r>
        <w:rPr>
          <w:rFonts w:eastAsia="宋体" w:ascii="宋体"/>
        </w:rPr>
        <w:t>[MISSING IMAGE: ,  ]</w:t>
      </w:r>
      <w:bookmarkEnd w:id="22"/>
    </w:p>
    <w:bookmarkEnd w:id="21"/>
    <w:bookmarkStart w:name="5f1a931165b46be2dc0bcc92885a76a7" w:id="23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第一步：全面诊断与健康度评估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：技改前，必须对电站进行一次全面的“体检”。通过IV曲线测试、EL（电致发光）检测、无人机热成像巡检等先进技术手段，对光伏组件、逆变器、电气结构等关键部分进行健康度评估。这一步的核心是量化设备的衰减水平和安全风险，为后续的决策提供精准的数据支撑。</w:t>
      </w:r>
    </w:p>
    <w:bookmarkEnd w:id="23"/>
    <w:bookmarkStart w:name="ufb93c591" w:id="24"/>
    <w:p>
      <w:pPr>
        <w:spacing w:after="50" w:line="360" w:lineRule="auto" w:beforeLines="100"/>
        <w:ind w:left="0"/>
        <w:jc w:val="left"/>
      </w:pPr>
      <w:bookmarkStart w:name="u510411c3" w:id="25"/>
      <w:r>
        <w:rPr>
          <w:rFonts w:eastAsia="宋体" w:ascii="宋体"/>
        </w:rPr>
        <w:drawing>
          <wp:inline distT="0" distB="0" distL="0" distR="0">
            <wp:extent cx="5842000" cy="3259821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653200" cy="24916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5"/>
    </w:p>
    <w:bookmarkEnd w:id="24"/>
    <w:bookmarkStart w:name="b45bd5be0f57e5faa87aa8585d00d376" w:id="26"/>
    <w:p>
      <w:pPr>
        <w:numPr>
          <w:ilvl w:val="0"/>
          <w:numId w:val="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第二步：明确技改目标与类型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 xml:space="preserve"> 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在精准诊断的基础上，根据电站的实际问题和业主的投资预期，可以确定清晰的技改目标。通常，技改可分为以下三类：</w:t>
      </w:r>
    </w:p>
    <w:bookmarkEnd w:id="26"/>
    <w:bookmarkStart w:name="0786cbe266f9b525f3c7fd8b76bef1a6" w:id="27"/>
    <w:p>
      <w:pPr>
        <w:numPr>
          <w:ilvl w:val="1"/>
          <w:numId w:val="3"/>
        </w:numPr>
        <w:spacing w:after="50" w:line="360" w:lineRule="auto" w:beforeLines="100"/>
        <w:ind w:left="72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效益型技改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其核心目标是提高电站的发电量和内部收益率（IRR）。典型措施包括更换老旧低效的光伏组件和逆变器，或是在符合政策和电网条件的前提下进行增容改造。</w:t>
      </w:r>
    </w:p>
    <w:bookmarkEnd w:id="27"/>
    <w:bookmarkStart w:name="30ec80242734ea8275735f4dc50a8038" w:id="28"/>
    <w:p>
      <w:pPr>
        <w:numPr>
          <w:ilvl w:val="1"/>
          <w:numId w:val="3"/>
        </w:numPr>
        <w:spacing w:after="50" w:line="360" w:lineRule="auto" w:beforeLines="100"/>
        <w:ind w:left="72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生产型技改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主要为了满足电网日益严格的并网和调度要求。例如，对电站的AGC/AVC系统进行升级改造，或更新监控系统以符合新的技术标准。</w:t>
      </w:r>
    </w:p>
    <w:bookmarkEnd w:id="28"/>
    <w:bookmarkStart w:name="438538cfdd7761095983d581efc9a5c7" w:id="29"/>
    <w:p>
      <w:pPr>
        <w:numPr>
          <w:ilvl w:val="1"/>
          <w:numId w:val="3"/>
        </w:numPr>
        <w:spacing w:after="50" w:line="360" w:lineRule="auto" w:beforeLines="100"/>
        <w:ind w:left="72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安全性技改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旨在消除电站存在的安全隐患，保障人员和设备安全。具体措施包括电力二次系统安全防护改造、防雷接地系统整改、更换老化电缆和锈蚀桥架等。</w:t>
      </w:r>
    </w:p>
    <w:bookmarkEnd w:id="29"/>
    <w:bookmarkStart w:name="a6699717d5d6b32f0625bf6e898e6891" w:id="3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然而，要精准执行这套方法论，并确保技改效益最大化，需要依赖具备软硬件全栈整合能力的专业技术伙伴。</w:t>
      </w:r>
    </w:p>
    <w:bookmarkEnd w:id="30"/>
    <w:bookmarkStart w:name="u0Lfb" w:id="31"/>
    <w:p>
      <w:pPr>
        <w:pStyle w:val="Heading3"/>
        <w:spacing w:after="50" w:line="360" w:lineRule="auto" w:beforeLines="100"/>
        <w:ind w:left="0"/>
        <w:jc w:val="left"/>
      </w:pPr>
      <w:bookmarkStart w:name="PCVev" w:id="32"/>
      <w:r>
        <w:rPr>
          <w:rFonts w:eastAsia="宋体" w:ascii="宋体"/>
        </w:rPr>
        <w:drawing>
          <wp:inline distT="0" distB="0" distL="0" distR="0">
            <wp:extent cx="5842000" cy="130854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576800" cy="3937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2"/>
    </w:p>
    <w:bookmarkEnd w:id="31"/>
    <w:bookmarkStart w:name="174cbaacc4dddb412f06653b47f06110" w:id="3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要实现上述系统性的“数字化焕新”，离不开整合了物联网、人工智能等前沿技术的专业解决方案，杭州轨物科技有限公司正凭借其深厚的十余年的技术积累，为这场变革提供着强有力的支撑。</w:t>
      </w:r>
    </w:p>
    <w:bookmarkEnd w:id="33"/>
    <w:bookmarkStart w:name="839c678b3f9756c86811f0b288d692df" w:id="3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轨物科技以“</w:t>
      </w:r>
      <w:r>
        <w:rPr>
          <w:rFonts w:ascii="宋体" w:hAnsi="Times New Roman" w:eastAsia="宋体"/>
          <w:b/>
          <w:i w:val="false"/>
          <w:color w:val="07787e"/>
          <w:sz w:val="22"/>
        </w:rPr>
        <w:t>聚焦物联网与人工智能创新应用，服务制造业智能化升级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”为企业使命，依托其独特的“</w:t>
      </w:r>
      <w:r>
        <w:rPr>
          <w:rFonts w:ascii="宋体" w:hAnsi="Times New Roman" w:eastAsia="宋体"/>
          <w:b/>
          <w:i w:val="false"/>
          <w:color w:val="07787e"/>
          <w:sz w:val="22"/>
        </w:rPr>
        <w:t>产学研用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”一体化创新生态，构建了一套软硬件深度融合的全栈式技术解决方案。</w:t>
      </w:r>
    </w:p>
    <w:bookmarkEnd w:id="34"/>
    <w:bookmarkStart w:name="bA8OY" w:id="35"/>
    <w:p>
      <w:pPr>
        <w:pStyle w:val="Heading4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color w:val="07787e"/>
        </w:rPr>
        <w:t>轨物科技解决方案全景图</w:t>
      </w:r>
    </w:p>
    <w:bookmarkEnd w:id="35"/>
    <w:bookmarkStart w:name="9b9a4e8069101e817b1e8a6b6271bfa2" w:id="36"/>
    <w:p>
      <w:pPr>
        <w:numPr>
          <w:ilvl w:val="0"/>
          <w:numId w:val="4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感知与执行层：智能硬件矩阵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数字化转型的基础是精准的数据感知和可靠的指令执行。轨物科技在新能源和电力领域布局了丰富的智能硬件产品矩阵，包括实现高精度数据采集的智能传感器、保障可靠控制的各类控制器，以及作为数据中枢的边缘网关。这些硬件构成了电站的“神经网络末梢”，是实现远程监控、精准控制和智能化决策的物理基础。</w:t>
      </w:r>
    </w:p>
    <w:bookmarkEnd w:id="36"/>
    <w:bookmarkStart w:name="b7f8e9bcfa51ca2bb1187b59113b42e6" w:id="37"/>
    <w:p>
      <w:pPr>
        <w:numPr>
          <w:ilvl w:val="0"/>
          <w:numId w:val="4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决策与管理层：智慧软件平台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 xml:space="preserve"> 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基于强大的硬件矩阵，轨物科技打造了一系列智慧软件平台，构成了电站的“智慧大脑”。</w:t>
      </w:r>
    </w:p>
    <w:bookmarkEnd w:id="37"/>
    <w:bookmarkStart w:name="8b55b3c1ad504b272ebf41bcc795dbbc" w:id="38"/>
    <w:p>
      <w:pPr>
        <w:numPr>
          <w:ilvl w:val="1"/>
          <w:numId w:val="5"/>
        </w:numPr>
        <w:spacing w:after="50" w:line="360" w:lineRule="auto" w:beforeLines="100"/>
        <w:ind w:left="72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“无人值守”光伏电站智能运维解决方案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这是轨物科技针对光伏电站运维痛点的核心方案。它通过集成智能清洁机器人、智能监控系统和大数据分析平台，实现了电站的自动化清洁、智能化巡检和预测性维护。该方案已拥有超过20项自研专利，并在100多个场站成功实施，能够显著降低运维成本，提升发电效率。</w:t>
      </w:r>
    </w:p>
    <w:bookmarkEnd w:id="38"/>
    <w:bookmarkStart w:name="uc8ec6dbe" w:id="39"/>
    <w:p>
      <w:pPr>
        <w:spacing w:after="50" w:line="360" w:lineRule="auto" w:beforeLines="100"/>
        <w:ind w:left="0"/>
        <w:jc w:val="left"/>
      </w:pPr>
      <w:bookmarkStart w:name="u312108ac" w:id="40"/>
      <w:r>
        <w:rPr>
          <w:rFonts w:eastAsia="宋体" w:ascii="宋体"/>
        </w:rPr>
        <w:drawing>
          <wp:inline distT="0" distB="0" distL="0" distR="0">
            <wp:extent cx="5842000" cy="2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653200" cy="19468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0"/>
    </w:p>
    <w:bookmarkEnd w:id="39"/>
    <w:bookmarkStart w:name="99d905458a0d85d8bd9948c6635a3df8" w:id="41"/>
    <w:p>
      <w:pPr>
        <w:numPr>
          <w:ilvl w:val="1"/>
          <w:numId w:val="6"/>
        </w:numPr>
        <w:spacing w:after="50" w:line="360" w:lineRule="auto" w:beforeLines="100"/>
        <w:ind w:left="72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新型储能管理系统（EMS）解决方案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面对“光伏+储能”的趋势，轨物科技的EMS解决方案在智能算法、安全预警和无缝扩容方面具备显著优势。它不仅能提升储能系统的充放电效率，还能通过精准的电池管理和安全预警机制，保障储能资产的安全与保值。</w:t>
      </w:r>
    </w:p>
    <w:bookmarkEnd w:id="41"/>
    <w:bookmarkStart w:name="96fec556d61eab1f64725a61b17df65a" w:id="42"/>
    <w:p>
      <w:pPr>
        <w:numPr>
          <w:ilvl w:val="1"/>
          <w:numId w:val="6"/>
        </w:numPr>
        <w:spacing w:after="50" w:line="360" w:lineRule="auto" w:beforeLines="100"/>
        <w:ind w:left="72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其他核心解决方案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此外，轨物科技的技术版图还覆盖了“</w:t>
      </w:r>
      <w:r>
        <w:rPr>
          <w:rFonts w:ascii="宋体" w:hAnsi="Times New Roman" w:eastAsia="宋体"/>
          <w:b/>
          <w:i w:val="false"/>
          <w:color w:val="07787e"/>
          <w:sz w:val="22"/>
          <w:u w:val="single"/>
        </w:rPr>
        <w:t>光伏柔性支架在线监测物联网解决方案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”、“</w:t>
      </w:r>
      <w:r>
        <w:rPr>
          <w:rFonts w:ascii="宋体" w:hAnsi="Times New Roman" w:eastAsia="宋体"/>
          <w:b/>
          <w:i w:val="false"/>
          <w:color w:val="07787e"/>
          <w:sz w:val="22"/>
          <w:u w:val="single"/>
        </w:rPr>
        <w:t>中低压电气设备智能化升级解决方案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”等多个领域，展示了其在新能源电力行业设备数字化升级方面的技术广度与深度。</w:t>
      </w:r>
    </w:p>
    <w:bookmarkEnd w:id="42"/>
    <w:bookmarkStart w:name="SOT2p" w:id="43"/>
    <w:p>
      <w:pPr>
        <w:pStyle w:val="Heading3"/>
        <w:spacing w:after="50" w:line="360" w:lineRule="auto" w:beforeLines="100"/>
        <w:ind w:left="0"/>
        <w:jc w:val="left"/>
      </w:pPr>
      <w:bookmarkStart w:name="WtblD" w:id="44"/>
      <w:r>
        <w:rPr>
          <w:rFonts w:eastAsia="宋体" w:ascii="宋体"/>
        </w:rPr>
        <w:drawing>
          <wp:inline distT="0" distB="0" distL="0" distR="0">
            <wp:extent cx="5842000" cy="130854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576800" cy="3937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4"/>
    </w:p>
    <w:bookmarkEnd w:id="43"/>
    <w:bookmarkStart w:name="1a2ff7d29ada0b79307e30a43ed06df1" w:id="4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让我们通过一个具体场景，来描绘如何利用轨物科技的解决方案，为一座投运多年的光伏电站注入新的生命力。</w:t>
      </w:r>
    </w:p>
    <w:bookmarkEnd w:id="45"/>
    <w:bookmarkStart w:name="u80323c8f" w:id="4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智能诊断阶段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：首先，运用轨物科技的智能检测方案，结合其后台的AI诊断算法，可以快速、精准地定位到每一块存在隐裂、热斑等问题的组件，并对逆变器等关键设备的运行状态进行评估，最终生成一份详尽的“</w:t>
      </w:r>
      <w:r>
        <w:rPr>
          <w:rFonts w:ascii="宋体" w:hAnsi="Times New Roman" w:eastAsia="宋体"/>
          <w:b/>
          <w:i w:val="false"/>
          <w:color w:val="07787e"/>
          <w:sz w:val="22"/>
          <w:u w:val="single"/>
        </w:rPr>
        <w:t>电站健康报告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”。</w:t>
      </w:r>
    </w:p>
    <w:bookmarkEnd w:id="46"/>
    <w:bookmarkStart w:name="uf7303d30" w:id="47"/>
    <w:p>
      <w:pPr>
        <w:spacing w:after="50" w:line="360" w:lineRule="auto" w:beforeLines="100"/>
        <w:ind w:left="0"/>
        <w:jc w:val="left"/>
      </w:pPr>
      <w:bookmarkStart w:name="t003l" w:id="48"/>
      <w:r>
        <w:rPr>
          <w:rFonts w:eastAsia="宋体" w:ascii="宋体"/>
        </w:rPr>
        <w:drawing>
          <wp:inline distT="0" distB="0" distL="0" distR="0">
            <wp:extent cx="5842000" cy="3259821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4653200" cy="24916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8"/>
    </w:p>
    <w:bookmarkEnd w:id="47"/>
    <w:bookmarkStart w:name="u72f5e627" w:id="4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硬件升级阶段：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根据“健康报告”的结论，实施精准的硬件更换。将衰减严重的组件替换为当前市场主流的高效组件，将老旧的集中式逆变器更换为新一代组串式逆变器，以提升MPPT跟踪精度和系统效率。同时，可以结合部署轨物科技的新型储能管理系统（EMS），构建“</w:t>
      </w:r>
      <w:r>
        <w:rPr>
          <w:rFonts w:ascii="宋体" w:hAnsi="Times New Roman" w:eastAsia="宋体"/>
          <w:b/>
          <w:i w:val="false"/>
          <w:color w:val="07787e"/>
          <w:sz w:val="22"/>
          <w:u w:val="single"/>
        </w:rPr>
        <w:t>发-储-用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”一体化优化调度的能力，最大化电站收益。</w:t>
      </w:r>
    </w:p>
    <w:bookmarkEnd w:id="49"/>
    <w:bookmarkStart w:name="u97549916" w:id="5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运维升级阶段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 xml:space="preserve"> 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部署轨物科技的“</w:t>
      </w:r>
      <w:r>
        <w:rPr>
          <w:rFonts w:ascii="宋体" w:hAnsi="Times New Roman" w:eastAsia="宋体"/>
          <w:b/>
          <w:i w:val="false"/>
          <w:color w:val="07787e"/>
          <w:sz w:val="22"/>
          <w:u w:val="single"/>
        </w:rPr>
        <w:t>无人值守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智能运维平台。在硬件层面，安装智能清洁机器人，实现组件表面的自动化、常态化清洁。在软件层面，通过统一的数据平台，运维人员不仅能实时监控全站设备状态，更能远程查看“机器人智慧运维平台”传回的精细化数据，例如每个子阵列的清洁进度、机器人运行状态，乃至具体的故障诊断与预警，从而实现从宏观管理到微观干预的闭环。最终实现“降本、增效、提收、竞争”的客户价值。</w:t>
      </w:r>
    </w:p>
    <w:bookmarkEnd w:id="50"/>
    <w:bookmarkStart w:name="u40b313c4" w:id="5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成果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 xml:space="preserve"> 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通过这样一套组合拳，改造效果是显著的。已有实践案例数据显示，经过系统性改造后，组件的功率恢复率可达到95.34%，运维成本大幅降低，电站整体发电量得到显著提升，</w:t>
      </w:r>
      <w:r>
        <w:rPr>
          <w:rFonts w:ascii="宋体" w:hAnsi="Times New Roman" w:eastAsia="宋体"/>
          <w:b/>
          <w:i w:val="false"/>
          <w:color w:val="07787e"/>
          <w:sz w:val="22"/>
          <w:u w:val="single"/>
        </w:rPr>
        <w:t>资产价值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得以重塑。</w:t>
      </w:r>
    </w:p>
    <w:bookmarkEnd w:id="51"/>
    <w:bookmarkStart w:name="u909ff68b" w:id="52"/>
    <w:p>
      <w:pPr>
        <w:spacing w:after="50" w:line="360" w:lineRule="auto" w:beforeLines="100"/>
        <w:ind w:left="0"/>
        <w:jc w:val="left"/>
      </w:pPr>
      <w:bookmarkStart w:name="u6f2ff08a" w:id="53"/>
      <w:r>
        <w:rPr>
          <w:rFonts w:eastAsia="宋体" w:ascii="宋体"/>
        </w:rPr>
        <w:drawing>
          <wp:inline distT="0" distB="0" distL="0" distR="0">
            <wp:extent cx="5842000" cy="309040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4653200" cy="23621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3"/>
    </w:p>
    <w:bookmarkEnd w:id="52"/>
    <w:bookmarkStart w:name="1EyRV" w:id="54"/>
    <w:p>
      <w:pPr>
        <w:pStyle w:val="Heading3"/>
        <w:spacing w:after="50" w:line="360" w:lineRule="auto" w:beforeLines="100"/>
        <w:ind w:left="0"/>
        <w:jc w:val="left"/>
      </w:pPr>
      <w:bookmarkStart w:name="UEv7q" w:id="55"/>
      <w:r>
        <w:rPr>
          <w:rFonts w:eastAsia="宋体" w:ascii="宋体"/>
        </w:rPr>
        <w:drawing>
          <wp:inline distT="0" distB="0" distL="0" distR="0">
            <wp:extent cx="5842000" cy="130854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7576800" cy="3937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5"/>
    </w:p>
    <w:bookmarkEnd w:id="54"/>
    <w:bookmarkStart w:name="ddf07f80771d90b889009a46a85bac2f" w:id="5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老旧光伏电站的“</w:t>
      </w:r>
      <w:r>
        <w:rPr>
          <w:rFonts w:ascii="宋体" w:hAnsi="Times New Roman" w:eastAsia="宋体"/>
          <w:b/>
          <w:i w:val="false"/>
          <w:color w:val="07787e"/>
          <w:sz w:val="22"/>
          <w:u w:val="single"/>
        </w:rPr>
        <w:t>数字化焕新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，绝非简单的设备更换，而是借助物联网、人工智能等前沿技术，对电站进行的一次从感知、决策到执行的全方位系统性价值重构。它将电站从一个被动发电的资产，转变为一个可感知、可诊断、自优化、高效率的智能能源单元。</w:t>
      </w:r>
    </w:p>
    <w:bookmarkEnd w:id="56"/>
    <w:bookmarkStart w:name="u1674b41d" w:id="57"/>
    <w:p>
      <w:pPr>
        <w:spacing w:after="50" w:line="360" w:lineRule="auto" w:beforeLines="100"/>
        <w:ind w:left="0"/>
        <w:jc w:val="left"/>
      </w:pPr>
      <w:bookmarkStart w:name="u54f326a4" w:id="58"/>
      <w:r>
        <w:rPr>
          <w:rFonts w:eastAsia="宋体" w:ascii="宋体"/>
        </w:rPr>
        <w:t>[MISSING IMAGE: ,  ]</w:t>
      </w:r>
      <w:bookmarkEnd w:id="58"/>
    </w:p>
    <w:bookmarkEnd w:id="57"/>
    <w:bookmarkStart w:name="bc0270be6364f8313a4e1f6859ebba11" w:id="5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在此背景下，以轨物科技为代表的、具备软硬件一体化全栈技术能力与“</w:t>
      </w:r>
      <w:r>
        <w:rPr>
          <w:rFonts w:ascii="宋体" w:hAnsi="Times New Roman" w:eastAsia="宋体"/>
          <w:b/>
          <w:i w:val="false"/>
          <w:color w:val="07787e"/>
          <w:sz w:val="22"/>
          <w:u w:val="single"/>
        </w:rPr>
        <w:t>产学研用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创新生态的服务商，正成为撬动存量资产价值跃升的核心杠杆。展望未来，随着数字化技术的不断深化应用，数以万计的存量光伏电站资产将被唤醒，焕发新的生命力，为我国实现“双碳”目标贡献更加坚实的力量。了解更多信息，请访问轨物科技官网：www.thingcom.com</w:t>
      </w:r>
    </w:p>
    <w:bookmarkEnd w:id="59"/>
    <w:bookmarkStart w:name="1d6ab04980f60819316f98aae4f2eb10" w:id="60"/>
    <w:p>
      <w:pPr>
        <w:spacing w:after="50" w:line="360" w:lineRule="auto" w:beforeLines="100"/>
        <w:ind w:left="0"/>
        <w:jc w:val="left"/>
      </w:pPr>
      <w:bookmarkStart w:name="u84891859" w:id="61"/>
      <w:r>
        <w:rPr>
          <w:rFonts w:eastAsia="宋体" w:ascii="宋体"/>
        </w:rPr>
        <w:drawing>
          <wp:inline distT="0" distB="0" distL="0" distR="0">
            <wp:extent cx="5842000" cy="162407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5927337" cy="26667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1"/>
    </w:p>
    <w:bookmarkEnd w:id="60"/>
    <w:bookmarkStart w:name="u33cab519" w:id="62"/>
    <w:p>
      <w:pPr>
        <w:spacing w:after="50" w:line="360" w:lineRule="auto" w:beforeLines="100"/>
        <w:ind w:left="0"/>
        <w:jc w:val="left"/>
      </w:pPr>
      <w:bookmarkStart w:name="u23df1d88" w:id="63"/>
      <w:r>
        <w:rPr>
          <w:rFonts w:eastAsia="宋体" w:ascii="宋体"/>
        </w:rPr>
        <w:drawing>
          <wp:inline distT="0" distB="0" distL="0" distR="0">
            <wp:extent cx="5841999" cy="329487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4207067" cy="8012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3"/>
    </w:p>
    <w:bookmarkEnd w:id="62"/>
    <w:bookmarkStart w:name="uac09a62e" w:id="64"/>
    <w:p>
      <w:pPr>
        <w:spacing w:after="50" w:line="360" w:lineRule="auto" w:beforeLines="100"/>
        <w:ind w:left="0"/>
        <w:jc w:val="left"/>
      </w:pPr>
      <w:bookmarkStart w:name="u88d305b8" w:id="65"/>
      <w:r>
        <w:rPr>
          <w:rFonts w:eastAsia="宋体" w:ascii="宋体"/>
        </w:rPr>
        <w:drawing>
          <wp:inline distT="0" distB="0" distL="0" distR="0">
            <wp:extent cx="5842000" cy="472607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8694400" cy="15123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5"/>
    </w:p>
    <w:bookmarkEnd w:id="64"/>
    <w:bookmarkStart w:name="u2d29b052" w:id="66"/>
    <w:p>
      <w:pPr>
        <w:spacing w:after="50" w:line="360" w:lineRule="auto" w:beforeLines="100"/>
        <w:ind w:left="0"/>
        <w:jc w:val="left"/>
      </w:pPr>
      <w:bookmarkStart w:name="ue16fd594" w:id="67"/>
      <w:r>
        <w:rPr>
          <w:rFonts w:eastAsia="宋体" w:ascii="宋体"/>
        </w:rPr>
        <w:drawing>
          <wp:inline distT="0" distB="0" distL="0" distR="0">
            <wp:extent cx="5842000" cy="4848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2487466" cy="1866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7"/>
    </w:p>
    <w:bookmarkEnd w:id="66"/>
    <w:bookmarkStart w:name="u0c3022c1" w:id="68"/>
    <w:p>
      <w:pPr>
        <w:spacing w:after="50" w:line="360" w:lineRule="auto" w:beforeLines="100"/>
        <w:ind w:left="0"/>
        <w:jc w:val="left"/>
      </w:pPr>
      <w:bookmarkStart w:name="u6e7258f0" w:id="69"/>
      <w:r>
        <w:rPr>
          <w:rFonts w:eastAsia="宋体" w:ascii="宋体"/>
        </w:rPr>
        <w:drawing>
          <wp:inline distT="0" distB="0" distL="0" distR="0">
            <wp:extent cx="5841999" cy="79448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2690666" cy="308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9"/>
    </w:p>
    <w:bookmarkEnd w:id="68"/>
    <w:bookmarkStart w:name="uf432e3b3" w:id="70"/>
    <w:p>
      <w:pPr>
        <w:spacing w:after="50" w:line="360" w:lineRule="auto" w:beforeLines="100"/>
        <w:ind w:left="0"/>
        <w:jc w:val="left"/>
      </w:pPr>
      <w:bookmarkStart w:name="u155a6de9" w:id="71"/>
      <w:r>
        <w:rPr>
          <w:rFonts w:eastAsia="宋体" w:ascii="宋体"/>
        </w:rPr>
        <w:drawing>
          <wp:inline distT="0" distB="0" distL="0" distR="0">
            <wp:extent cx="5842000" cy="13202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3804800" cy="1441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1"/>
      <w:bookmarkStart w:name="uda737dd5" w:id="72"/>
      <w:r>
        <w:rPr>
          <w:rFonts w:eastAsia="宋体" w:ascii="宋体"/>
        </w:rPr>
        <w:drawing>
          <wp:inline distT="0" distB="0" distL="0" distR="0">
            <wp:extent cx="5842000" cy="13202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3804800" cy="1441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2"/>
      <w:bookmarkStart w:name="u1483cdbf" w:id="73"/>
      <w:r>
        <w:rPr>
          <w:rFonts w:eastAsia="宋体" w:ascii="宋体"/>
        </w:rPr>
        <w:drawing>
          <wp:inline distT="0" distB="0" distL="0" distR="0">
            <wp:extent cx="5842000" cy="13202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3804800" cy="1441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3"/>
      <w:bookmarkStart w:name="ueb34b0b3" w:id="74"/>
      <w:r>
        <w:rPr>
          <w:rFonts w:eastAsia="宋体" w:ascii="宋体"/>
        </w:rPr>
        <w:drawing>
          <wp:inline distT="0" distB="0" distL="0" distR="0">
            <wp:extent cx="5842000" cy="13202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3804800" cy="1441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4"/>
    </w:p>
    <w:bookmarkEnd w:id="70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abstractNum w:abstractNumId="2">
    <w:multiLevelType w:val="multilevel"/>
    <w:lvl w:ilvl="0">
      <w:start w:val="2"/>
      <w:numFmt w:val="decimal"/>
      <w:lvlText w:val="%1."/>
      <w:lvlJc w:val="left"/>
      <w:pPr>
        <w:ind w:left="960" w:hanging="360"/>
      </w:pPr>
    </w:lvl>
  </w:abstractNum>
  <w:abstractNum w:abstractNumId="3">
    <w:multiLevelType w:val="multilevel"/>
    <w:lvl w:ilvl="1">
      <w:start w:val="1"/>
      <w:numFmt w:val="lowerLetter"/>
      <w:lvlText w:val="%2."/>
      <w:lvlJc w:val="left"/>
      <w:pPr>
        <w:ind w:left="1560" w:hanging="360"/>
      </w:p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5">
    <w:multiLevelType w:val="multilevel"/>
    <w:lvl w:ilvl="1">
      <w:start w:val="1"/>
      <w:numFmt w:val="lowerLetter"/>
      <w:lvlText w:val="o"/>
      <w:lvlJc w:val="left"/>
      <w:pPr>
        <w:ind w:left="1560" w:hanging="360"/>
      </w:pPr>
      <w:rPr>
        <w:rFonts w:hint="default" w:ascii="Courier New" w:hAnsi="Courier New" w:cs="Courier New"/>
      </w:rPr>
    </w:lvl>
  </w:abstractNum>
  <w:abstractNum w:abstractNumId="6">
    <w:multiLevelType w:val="multilevel"/>
    <w:lvl w:ilvl="1">
      <w:start w:val="1"/>
      <w:numFmt w:val="lowerLetter"/>
      <w:lvlText w:val="o"/>
      <w:lvlJc w:val="left"/>
      <w:pPr>
        <w:ind w:left="1560" w:hanging="360"/>
      </w:pPr>
      <w:rPr>
        <w:rFonts w:hint="default" w:ascii="Courier New" w:hAnsi="Courier New" w:cs="Courier New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宋体" w:eastAsia="宋体"/>
      <w:b/>
      <w:bCs/>
      <w:color w:val="000000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宋体" w:eastAsia="宋体"/>
      <w:b/>
      <w:bCs/>
      <w:color w:val="000000"/>
      <w:sz w:val="3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宋体" w:eastAsia="宋体"/>
      <w:b/>
      <w:bCs/>
      <w:color w:val="000000"/>
      <w:sz w:val="3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宋体" w:eastAsia="宋体"/>
      <w:b/>
      <w:bCs/>
      <w:color w:val="000000"/>
      <w:sz w:val="30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41CD9"/>
    <w:pPr>
      <w:keepNext/>
      <w:keepLines/>
      <w:spacing w:before="200"/>
      <w:outlineLvl w:val="4"/>
    </w:pPr>
    <w:rPr>
      <w:rFonts w:ascii="宋体" w:eastAsia="宋体"/>
      <w:b/>
      <w:bCs/>
      <w:color w:val="000000"/>
      <w:sz w:val="28"/>
    </w:rPr>
  </w:style>
  <w:style w:type="paragraph" w:styleId="ne-codeblock"/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media/document_image_rId10.png" Type="http://schemas.openxmlformats.org/officeDocument/2006/relationships/image"/><Relationship Id="rId11" Target="media/document_image_rId11.png" Type="http://schemas.openxmlformats.org/officeDocument/2006/relationships/image"/><Relationship Id="rId12" Target="media/document_image_rId12.png" Type="http://schemas.openxmlformats.org/officeDocument/2006/relationships/image"/><Relationship Id="rId13" Target="media/document_image_rId13.png" Type="http://schemas.openxmlformats.org/officeDocument/2006/relationships/image"/><Relationship Id="rId14" Target="media/document_image_rId14.png" Type="http://schemas.openxmlformats.org/officeDocument/2006/relationships/image"/><Relationship Id="rId15" Target="media/document_image_rId15.png" Type="http://schemas.openxmlformats.org/officeDocument/2006/relationships/image"/><Relationship Id="rId16" Target="media/document_image_rId16.png" Type="http://schemas.openxmlformats.org/officeDocument/2006/relationships/image"/><Relationship Id="rId17" Target="media/document_image_rId17.png" Type="http://schemas.openxmlformats.org/officeDocument/2006/relationships/image"/><Relationship Id="rId18" Target="media/document_image_rId18.png" Type="http://schemas.openxmlformats.org/officeDocument/2006/relationships/image"/><Relationship Id="rId19" Target="media/document_image_rId19.png" Type="http://schemas.openxmlformats.org/officeDocument/2006/relationships/image"/><Relationship Id="rId2" Target="settings.xml" Type="http://schemas.openxmlformats.org/officeDocument/2006/relationships/settings"/><Relationship Id="rId20" Target="media/document_image_rId20.png" Type="http://schemas.openxmlformats.org/officeDocument/2006/relationships/image"/><Relationship Id="rId21" Target="media/document_image_rId21.png" Type="http://schemas.openxmlformats.org/officeDocument/2006/relationships/image"/><Relationship Id="rId22" Target="media/document_image_rId22.png" Type="http://schemas.openxmlformats.org/officeDocument/2006/relationships/image"/><Relationship Id="rId23" Target="media/document_image_rId23.png" Type="http://schemas.openxmlformats.org/officeDocument/2006/relationships/image"/><Relationship Id="rId24" Target="media/document_image_rId24.png" Type="http://schemas.openxmlformats.org/officeDocument/2006/relationships/image"/><Relationship Id="rId25" Target="media/document_image_rId25.png" Type="http://schemas.openxmlformats.org/officeDocument/2006/relationships/image"/><Relationship Id="rId3" Target="numbering.xml" Type="http://schemas.openxmlformats.org/officeDocument/2006/relationships/numbering"/><Relationship Id="rId4" Target="media/document_image_rId4.png" Type="http://schemas.openxmlformats.org/officeDocument/2006/relationships/image"/><Relationship Id="rId5" Target="media/document_image_rId5.png" Type="http://schemas.openxmlformats.org/officeDocument/2006/relationships/image"/><Relationship Id="rId6" Target="media/document_image_rId6.png" Type="http://schemas.openxmlformats.org/officeDocument/2006/relationships/image"/><Relationship Id="rId7" Target="media/document_image_rId7.png" Type="http://schemas.openxmlformats.org/officeDocument/2006/relationships/image"/><Relationship Id="rId8" Target="media/document_image_rId8.png" Type="http://schemas.openxmlformats.org/officeDocument/2006/relationships/image"/><Relationship Id="rId9" Target="media/document_image_rId9.png" Type="http://schemas.openxmlformats.org/officeDocument/2006/relationships/image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