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【轨物洞见】告别“被动维修”！预测性运维如何重塑老旧电站的资产价值？</w:t>
      </w:r>
    </w:p>
    <w:bookmarkEnd w:id="0"/>
    <w:bookmarkStart w:name="gQMqW" w:id="1"/>
    <w:p>
      <w:pPr>
        <w:pStyle w:val="Heading1"/>
        <w:spacing w:after="50" w:line="360" w:lineRule="auto" w:beforeLines="100"/>
        <w:ind w:left="0"/>
        <w:jc w:val="left"/>
      </w:pPr>
      <w:bookmarkStart w:name="QsLME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a3536de1" w:id="3"/>
    <w:p>
      <w:pPr>
        <w:spacing w:after="50" w:line="360" w:lineRule="auto" w:beforeLines="100"/>
        <w:ind w:left="0"/>
        <w:jc w:val="left"/>
      </w:pPr>
      <w:bookmarkStart w:name="iGldr" w:id="4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9632e20a" w:id="5"/>
    <w:p>
      <w:pPr>
        <w:spacing w:after="50" w:line="360" w:lineRule="auto" w:beforeLines="100"/>
        <w:ind w:left="0"/>
        <w:jc w:val="left"/>
      </w:pPr>
      <w:bookmarkStart w:name="u8236971e" w:id="6"/>
      <w:r>
        <w:rPr>
          <w:rFonts w:eastAsia="宋体" w:ascii="宋体"/>
        </w:rPr>
        <w:drawing>
          <wp:inline distT="0" distB="0" distL="0" distR="0">
            <wp:extent cx="5842000" cy="13143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a729e174a05dd409b19e516480cc98a8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产业正步入一个关键的资产管理周期。截至“十四五”末期，运行超过10年（2014年底前建成）的老旧电站规模已达19.5GW。在土地资源与并网容量日益稀缺的背景下，早期因设计不规范、组件性能衰减（如隐裂、PID效应）以及设备老化导致的度电成本（LCOE）抬升，正成为运维商沉重的现金流负担。</w:t>
      </w:r>
    </w:p>
    <w:bookmarkEnd w:id="7"/>
    <w:bookmarkStart w:name="68b45dab4d7419c2f00781ee70c1136c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单纯的“</w:t>
      </w:r>
      <w:r>
        <w:rPr>
          <w:rFonts w:ascii="宋体" w:hAnsi="Times New Roman" w:eastAsia="宋体"/>
          <w:b/>
          <w:i w:val="false"/>
          <w:color w:val="07787e"/>
          <w:sz w:val="22"/>
        </w:rPr>
        <w:t>被动维修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已无法阻止资产流失，唯有通过技改实现资产增值。杭州轨物科技凭借深厚的“产学研用”一体化生态，已服务超过200家企业，创造了超千亿元的累计经济效益。我们认为，技改的第一步，必须建立在基于设备残余寿命（RUL）评估的精准数字化诊断之上。</w:t>
      </w:r>
    </w:p>
    <w:bookmarkEnd w:id="8"/>
    <w:bookmarkStart w:name="u391e2bee" w:id="9"/>
    <w:p>
      <w:pPr>
        <w:spacing w:after="50" w:line="360" w:lineRule="auto" w:beforeLines="100"/>
        <w:ind w:left="0"/>
        <w:jc w:val="left"/>
      </w:pPr>
      <w:bookmarkStart w:name="u7951aef6" w:id="10"/>
      <w:r>
        <w:rPr>
          <w:rFonts w:eastAsia="宋体" w:ascii="宋体"/>
        </w:rPr>
        <w:t>[MISSING IMAGE: ,  ]</w:t>
      </w:r>
      <w:bookmarkEnd w:id="10"/>
    </w:p>
    <w:bookmarkEnd w:id="9"/>
    <w:bookmarkStart w:name="u1927a540" w:id="11"/>
    <w:p>
      <w:pPr>
        <w:spacing w:after="50" w:line="360" w:lineRule="auto" w:beforeLines="100"/>
        <w:ind w:left="0"/>
        <w:jc w:val="left"/>
      </w:pPr>
      <w:bookmarkStart w:name="lS0Ye" w:id="12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6c5345331b1473e9f0de0d36b68d4a31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对老旧电站的资产评估需通过“设备健康度+退化建模+经济测算”三线并行。我们通过对各项指标进行归一化处理，构建了0-100分的健康量化评分体系，以识别“技术阈值”与“经济阈值”：</w:t>
      </w:r>
    </w:p>
    <w:bookmarkEnd w:id="13"/>
    <w:bookmarkStart w:name="a078bbb6dce983f66dc86a27de9a7f3a" w:id="1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指标体系维度：</w:t>
      </w:r>
    </w:p>
    <w:bookmarkEnd w:id="14"/>
    <w:bookmarkStart w:name="3d030429f27a24aff141a752e8239948" w:id="15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组件层（核心资产）：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监测输出功率保持率、填充因子（FF）、IV曲线形态及热斑分布。通过裂隙效应系数（k）量化功率损失：P_{loss} = k \cdot A_{crack} \cdot \eta_{comp}（其中A_{crack}为裂纹面积，\eta_{comp}为组件效率）。</w:t>
      </w:r>
    </w:p>
    <w:bookmarkEnd w:id="15"/>
    <w:bookmarkStart w:name="ef8d01c1e5d4da4fa2e172d606657810" w:id="16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逆变器层（能量转换）：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评估故障率、MPPT效率、电能质量（谐波及功率因数）及运行温度稳定性。</w:t>
      </w:r>
    </w:p>
    <w:bookmarkEnd w:id="16"/>
    <w:bookmarkStart w:name="7208212ae606030414303d37f6eb00ae" w:id="17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系统与环境层：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采集PR（系统效率）、故障停机率以及风沙/积尘对辐照度的阻断。</w:t>
      </w:r>
    </w:p>
    <w:bookmarkEnd w:id="17"/>
    <w:bookmarkStart w:name="ea7bf07f6b215d4203cdc5c76e819f25" w:id="1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分级决策逻辑：</w:t>
      </w:r>
    </w:p>
    <w:bookmarkEnd w:id="18"/>
    <w:bookmarkStart w:name="34045fc2d4e00c00d534d92b36f465a0" w:id="19"/>
    <w:p>
      <w:pPr>
        <w:numPr>
          <w:ilvl w:val="1"/>
          <w:numId w:val="4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评分 &lt; 50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技术寿命接近极限，建议整体重构。</w:t>
      </w:r>
    </w:p>
    <w:bookmarkEnd w:id="19"/>
    <w:bookmarkStart w:name="3750ffed6f24350d6e83982de0416371" w:id="20"/>
    <w:p>
      <w:pPr>
        <w:numPr>
          <w:ilvl w:val="1"/>
          <w:numId w:val="4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50 - 70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重度退化，需开展“效益型技改”或“生产型技改”。</w:t>
      </w:r>
    </w:p>
    <w:bookmarkEnd w:id="20"/>
    <w:bookmarkStart w:name="9b268d7ba05e315e893f40808b5877b6" w:id="21"/>
    <w:p>
      <w:pPr>
        <w:numPr>
          <w:ilvl w:val="1"/>
          <w:numId w:val="4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70 - 90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轻度退化，实施预测性维护以延长RUL。</w:t>
      </w:r>
    </w:p>
    <w:bookmarkEnd w:id="21"/>
    <w:bookmarkStart w:name="u9bbf202b" w:id="22"/>
    <w:p>
      <w:pPr>
        <w:spacing w:after="50" w:line="360" w:lineRule="auto" w:beforeLines="100"/>
        <w:ind w:left="0"/>
        <w:jc w:val="left"/>
      </w:pPr>
      <w:bookmarkStart w:name="a62bJ" w:id="23"/>
      <w:r>
        <w:rPr>
          <w:rFonts w:eastAsia="宋体" w:ascii="宋体"/>
        </w:rPr>
        <w:drawing>
          <wp:inline distT="0" distB="0" distL="0" distR="0">
            <wp:extent cx="5842000" cy="134357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20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cc5a5f2e7f8c1ea8134277a14e863b6d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杭州轨物科技提供的“传感器+智能硬件+AI软件”闭环，实现了从物理状态感知到决策输出的毫秒级响应。</w:t>
      </w:r>
    </w:p>
    <w:bookmarkEnd w:id="24"/>
    <w:bookmarkStart w:name="ed195312752e3c0350ea9a8b3aaf3ad5" w:id="2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智能硬件层（装备数字化）：</w:t>
      </w:r>
    </w:p>
    <w:bookmarkEnd w:id="25"/>
    <w:bookmarkStart w:name="d69b5a7eb8c32f3aae86c4a90526ff13" w:id="26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精准检测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采用</w:t>
      </w:r>
      <w:r>
        <w:rPr>
          <w:rFonts w:ascii="宋体" w:hAnsi="Times New Roman" w:eastAsia="宋体"/>
          <w:b/>
          <w:i w:val="false"/>
          <w:color w:val="07787e"/>
          <w:sz w:val="22"/>
        </w:rPr>
        <w:t>EC120型便携式EL成像系统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，分辨率达0.1mm，配合</w:t>
      </w:r>
      <w:r>
        <w:rPr>
          <w:rFonts w:ascii="宋体" w:hAnsi="Times New Roman" w:eastAsia="宋体"/>
          <w:b/>
          <w:i w:val="false"/>
          <w:color w:val="07787e"/>
          <w:sz w:val="22"/>
        </w:rPr>
        <w:t>DJI Matrice 300无人机搭载Zenmuse XT2热成像模块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，实现全站缺陷100%覆盖。</w:t>
      </w:r>
    </w:p>
    <w:bookmarkEnd w:id="26"/>
    <w:bookmarkStart w:name="b7e969329ff105e46cf6428a2ce77128" w:id="27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环境适应性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应用</w:t>
      </w:r>
      <w:r>
        <w:rPr>
          <w:rFonts w:ascii="宋体" w:hAnsi="Times New Roman" w:eastAsia="宋体"/>
          <w:b/>
          <w:i w:val="false"/>
          <w:color w:val="07787e"/>
          <w:sz w:val="22"/>
        </w:rPr>
        <w:t>3M Solar Dust-Guard疏水涂层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，并集成</w:t>
      </w:r>
      <w:r>
        <w:rPr>
          <w:rFonts w:ascii="宋体" w:hAnsi="Times New Roman" w:eastAsia="宋体"/>
          <w:b/>
          <w:i w:val="false"/>
          <w:color w:val="07787e"/>
          <w:sz w:val="22"/>
        </w:rPr>
        <w:t>KUKA KR Agilus机器人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自动化清洁系统，有效降低灰尘引起的发电损失。</w:t>
      </w:r>
    </w:p>
    <w:bookmarkEnd w:id="27"/>
    <w:bookmarkStart w:name="aa02007b501aa60a738297580294b041" w:id="28"/>
    <w:p>
      <w:pPr>
        <w:numPr>
          <w:ilvl w:val="1"/>
          <w:numId w:val="6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高性能数采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基于Keysight N8700系列传感器，数据传输速率达</w:t>
      </w:r>
      <w:r>
        <w:rPr>
          <w:rFonts w:ascii="宋体" w:hAnsi="Times New Roman" w:eastAsia="宋体"/>
          <w:b/>
          <w:i w:val="false"/>
          <w:color w:val="07787e"/>
          <w:sz w:val="22"/>
        </w:rPr>
        <w:t>1.82MB/s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。</w:t>
      </w:r>
    </w:p>
    <w:bookmarkEnd w:id="28"/>
    <w:bookmarkStart w:name="33261dfb92ba55b7b3956cab48e50751" w:id="2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智慧软件层（预测性运维）：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系统基于</w:t>
      </w:r>
      <w:r>
        <w:rPr>
          <w:rFonts w:ascii="宋体" w:hAnsi="Times New Roman" w:eastAsia="宋体"/>
          <w:b/>
          <w:i w:val="false"/>
          <w:color w:val="07787e"/>
          <w:sz w:val="22"/>
        </w:rPr>
        <w:t>TensorFlow 2.0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深度学习架构，融合随机森林与卷积神经网络（CNN）模型。通过对电压、电流、功率因数等特征值的实时分析，实现定位误差控制在</w:t>
      </w:r>
      <w:r>
        <w:rPr>
          <w:rFonts w:ascii="宋体" w:hAnsi="Times New Roman" w:eastAsia="宋体"/>
          <w:b/>
          <w:i w:val="false"/>
          <w:color w:val="07787e"/>
          <w:sz w:val="22"/>
        </w:rPr>
        <w:t>0.1m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内的故障诊断。</w:t>
      </w:r>
    </w:p>
    <w:bookmarkEnd w:id="29"/>
    <w:bookmarkStart w:name="uaaee4dc5" w:id="30"/>
    <w:p>
      <w:pPr>
        <w:spacing w:after="50" w:line="360" w:lineRule="auto" w:beforeLines="100"/>
        <w:ind w:left="0"/>
        <w:jc w:val="left"/>
      </w:pPr>
      <w:bookmarkStart w:name="udcdf1db9" w:id="31"/>
      <w:r>
        <w:rPr>
          <w:rFonts w:eastAsia="宋体" w:ascii="宋体"/>
        </w:rPr>
        <w:drawing>
          <wp:inline distT="0" distB="0" distL="0" distR="0">
            <wp:extent cx="5841999" cy="32714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5332" cy="248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0c93dcd67f808e4e8bae9e1a43a78fbb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核心竞争力对比表：</w:t>
      </w:r>
    </w:p>
    <w:bookmarkEnd w:id="32"/>
    <w:bookmarkStart w:name="uc171889f" w:id="33"/>
    <w:p>
      <w:pPr>
        <w:spacing w:after="50" w:line="360" w:lineRule="auto" w:beforeLines="100"/>
        <w:ind w:left="0"/>
        <w:jc w:val="left"/>
      </w:pPr>
      <w:bookmarkStart w:name="u5ba68967" w:id="34"/>
      <w:r>
        <w:rPr>
          <w:rFonts w:eastAsia="宋体" w:ascii="宋体"/>
        </w:rPr>
        <w:drawing>
          <wp:inline distT="0" distB="0" distL="0" distR="0">
            <wp:extent cx="5842000" cy="154449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085e88e1" w:id="35"/>
    <w:p>
      <w:pPr>
        <w:spacing w:after="50" w:line="360" w:lineRule="auto" w:beforeLines="100"/>
        <w:ind w:left="0"/>
        <w:jc w:val="left"/>
      </w:pPr>
      <w:bookmarkStart w:name="Gtfa3" w:id="36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8f04dc3d6743f50404b40dde7bf31631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在不触碰“红线约束”（不改变用地边界、不突破核准容量、不改变并网电压等级）的前提下，我们执行四步走策略：</w:t>
      </w:r>
    </w:p>
    <w:bookmarkEnd w:id="37"/>
    <w:bookmarkStart w:name="419963a410f84d886b0d492964526e5c" w:id="38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全站数字评估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利用高精度传感器网络进行RUL分析，划定局部替换或整体更新的边界。</w:t>
      </w:r>
    </w:p>
    <w:bookmarkEnd w:id="38"/>
    <w:bookmarkStart w:name="ac96f2e05739ca80029c76b0db6d4164" w:id="39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量化技改目标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设定“PR提升10-20%”、“故障停机降低50%”等硬性KPI。</w:t>
      </w:r>
    </w:p>
    <w:bookmarkEnd w:id="39"/>
    <w:bookmarkStart w:name="6c5e7eb5739d726bb1e98b2135d218d5" w:id="40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分类型方案组合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</w:p>
    <w:bookmarkEnd w:id="40"/>
    <w:bookmarkStart w:name="89dda98ac85430688bf0204040a1752a" w:id="41"/>
    <w:p>
      <w:pPr>
        <w:numPr>
          <w:ilvl w:val="1"/>
          <w:numId w:val="9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效益型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更换23.2%效率的PERC组件，提升容配比。</w:t>
      </w:r>
    </w:p>
    <w:bookmarkEnd w:id="41"/>
    <w:bookmarkStart w:name="b76a3997ca2f8aef8051c192b941dedc" w:id="42"/>
    <w:p>
      <w:pPr>
        <w:numPr>
          <w:ilvl w:val="1"/>
          <w:numId w:val="9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生产型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升级AGC/AVC系统，配置新型BMS（电池管理系统）。</w:t>
      </w:r>
    </w:p>
    <w:bookmarkEnd w:id="42"/>
    <w:bookmarkStart w:name="a0485db44460d6fa8b488fba5fb8b099" w:id="43"/>
    <w:p>
      <w:pPr>
        <w:numPr>
          <w:ilvl w:val="1"/>
          <w:numId w:val="9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安全型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改造老化电缆与散热结构（液冷CoolFlow散热效率提升30%以上）。</w:t>
      </w:r>
    </w:p>
    <w:bookmarkEnd w:id="43"/>
    <w:bookmarkStart w:name="b40b14eb37118522c88734a92071e899" w:id="44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数字化闭环验证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通过Grafana动态仪表盘实时对比技改前后的收益，实现资产管理的精细化。</w:t>
      </w:r>
    </w:p>
    <w:bookmarkEnd w:id="44"/>
    <w:bookmarkStart w:name="uec45f35d" w:id="45"/>
    <w:p>
      <w:pPr>
        <w:spacing w:after="50" w:line="360" w:lineRule="auto" w:beforeLines="100"/>
        <w:ind w:left="0"/>
        <w:jc w:val="left"/>
      </w:pPr>
      <w:bookmarkStart w:name="ua0a9c9b0" w:id="46"/>
      <w:r>
        <w:rPr>
          <w:rFonts w:eastAsia="宋体" w:ascii="宋体"/>
        </w:rPr>
        <w:drawing>
          <wp:inline distT="0" distB="0" distL="0" distR="0">
            <wp:extent cx="5841999" cy="325395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0" cy="248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74bd5ba3" w:id="47"/>
    <w:p>
      <w:pPr>
        <w:spacing w:after="50" w:line="360" w:lineRule="auto" w:beforeLines="100"/>
        <w:ind w:left="0"/>
        <w:jc w:val="left"/>
      </w:pPr>
      <w:bookmarkStart w:name="t1eHt" w:id="48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0b2180aa9ce16cee9b7b61be83999563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技术投入必须转化为财务报表的增长。以某52.35MWp实地技改案例为例，通过轨物科技的全栈优化，实现了如下核心回报：</w:t>
      </w:r>
    </w:p>
    <w:bookmarkEnd w:id="49"/>
    <w:bookmarkStart w:name="7a97b1a44210e5b348401812c0381304" w:id="50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性能飞跃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组件功率恢复率达</w:t>
      </w:r>
      <w:r>
        <w:rPr>
          <w:rFonts w:ascii="宋体" w:hAnsi="Times New Roman" w:eastAsia="宋体"/>
          <w:b/>
          <w:i w:val="false"/>
          <w:color w:val="07787e"/>
          <w:sz w:val="22"/>
        </w:rPr>
        <w:t>95.34%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；储能系统充放电效率提升至</w:t>
      </w:r>
      <w:r>
        <w:rPr>
          <w:rFonts w:ascii="宋体" w:hAnsi="Times New Roman" w:eastAsia="宋体"/>
          <w:b/>
          <w:i w:val="false"/>
          <w:color w:val="07787e"/>
          <w:sz w:val="22"/>
        </w:rPr>
        <w:t>93.87%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；</w:t>
      </w:r>
      <w:r>
        <w:rPr>
          <w:rFonts w:ascii="宋体" w:hAnsi="Times New Roman" w:eastAsia="宋体"/>
          <w:b/>
          <w:i w:val="false"/>
          <w:color w:val="07787e"/>
          <w:sz w:val="22"/>
        </w:rPr>
        <w:t>SOC误差范围由±3.20%缩小至±0.95%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，显著提升了化学资产的安全性。</w:t>
      </w:r>
    </w:p>
    <w:bookmarkEnd w:id="50"/>
    <w:bookmarkStart w:name="f0c5d9d671068aa78a855fe537a0fe5c" w:id="51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并网合规与成本压降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谐波畸变率由7.56%降至</w:t>
      </w:r>
      <w:r>
        <w:rPr>
          <w:rFonts w:ascii="宋体" w:hAnsi="Times New Roman" w:eastAsia="宋体"/>
          <w:b/>
          <w:i w:val="false"/>
          <w:color w:val="07787e"/>
          <w:sz w:val="22"/>
        </w:rPr>
        <w:t>3.82%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，配合延迟仅</w:t>
      </w:r>
      <w:r>
        <w:rPr>
          <w:rFonts w:ascii="宋体" w:hAnsi="Times New Roman" w:eastAsia="宋体"/>
          <w:b/>
          <w:i w:val="false"/>
          <w:color w:val="07787e"/>
          <w:sz w:val="22"/>
        </w:rPr>
        <w:t>9.47ms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的功率因数响应，彻底消除了电网罚款风险；环境适应性改造使散热效率提升</w:t>
      </w:r>
      <w:r>
        <w:rPr>
          <w:rFonts w:ascii="宋体" w:hAnsi="Times New Roman" w:eastAsia="宋体"/>
          <w:b/>
          <w:i w:val="false"/>
          <w:color w:val="000000"/>
          <w:sz w:val="22"/>
        </w:rPr>
        <w:t>31.28%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51"/>
    <w:bookmarkStart w:name="50b961e3fde9adc070d4a906afdc1a3f" w:id="52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经济决策模型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按\Delta NPV / Investment（净现值增量/投资额）测算，项目现金流在极短时间内实现由负转正，IRR显著优于同资源区新建项目。</w:t>
      </w:r>
    </w:p>
    <w:bookmarkEnd w:id="52"/>
    <w:bookmarkStart w:name="uda2a70fa" w:id="53"/>
    <w:p>
      <w:pPr>
        <w:spacing w:after="50" w:line="360" w:lineRule="auto" w:beforeLines="100"/>
        <w:ind w:left="0"/>
        <w:jc w:val="left"/>
      </w:pPr>
      <w:bookmarkStart w:name="u30a9b61a" w:id="54"/>
      <w:r>
        <w:rPr>
          <w:rFonts w:eastAsia="宋体" w:ascii="宋体"/>
        </w:rPr>
        <w:drawing>
          <wp:inline distT="0" distB="0" distL="0" distR="0">
            <wp:extent cx="5842000" cy="32714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19332" cy="2498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da91988204a36e465ac7120c2228a074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这不仅是设备的更替，更是通过数字化手段对资产全生命周期价值的跨代升级。</w:t>
      </w:r>
    </w:p>
    <w:bookmarkEnd w:id="55"/>
    <w:bookmarkStart w:name="u6b6a4296" w:id="56"/>
    <w:p>
      <w:pPr>
        <w:spacing w:after="50" w:line="360" w:lineRule="auto" w:beforeLines="100"/>
        <w:ind w:left="0"/>
        <w:jc w:val="left"/>
      </w:pPr>
      <w:bookmarkStart w:name="jvaHb" w:id="57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4a13479f818d94f1e65d2f84a976347d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在存量竞争时代，预测性运维不再是锦上添花，而是运维商生存的确定性保障。面对老旧电站效能衰减的挑战，通过杭州轨物科技的专业数字化支持，将技术瓶颈转化为资产升值的动力。</w:t>
      </w:r>
    </w:p>
    <w:bookmarkEnd w:id="58"/>
    <w:bookmarkStart w:name="udd274455" w:id="59"/>
    <w:p>
      <w:pPr>
        <w:spacing w:after="50" w:line="360" w:lineRule="auto" w:beforeLines="100"/>
        <w:ind w:left="0"/>
        <w:jc w:val="left"/>
      </w:pPr>
      <w:bookmarkStart w:name="ua5a8b8ae" w:id="60"/>
      <w:r>
        <w:rPr>
          <w:rFonts w:eastAsia="宋体" w:ascii="宋体"/>
        </w:rPr>
        <w:t>[MISSING IMAGE: ,  ]</w:t>
      </w:r>
      <w:bookmarkEnd w:id="60"/>
    </w:p>
    <w:bookmarkEnd w:id="59"/>
    <w:bookmarkStart w:name="ff9d915ba7fd13552ddae78720f822c6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诚邀您访问公司官网（www.thingcom.com)，共同探索光伏资产增值的无限可能。</w:t>
      </w:r>
    </w:p>
    <w:bookmarkEnd w:id="61"/>
    <w:bookmarkStart w:name="33990d977e9b22161d34f980813e514e" w:id="62"/>
    <w:p>
      <w:pPr>
        <w:spacing w:after="50" w:line="360" w:lineRule="auto" w:beforeLines="100"/>
        <w:ind w:left="0"/>
        <w:jc w:val="left"/>
      </w:pPr>
      <w:bookmarkStart w:name="u84891859" w:id="6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33cab519" w:id="64"/>
    <w:p>
      <w:pPr>
        <w:spacing w:after="50" w:line="360" w:lineRule="auto" w:beforeLines="100"/>
        <w:ind w:left="0"/>
        <w:jc w:val="left"/>
      </w:pPr>
      <w:bookmarkStart w:name="u23df1d88" w:id="65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4"/>
    <w:bookmarkStart w:name="uac09a62e" w:id="66"/>
    <w:p>
      <w:pPr>
        <w:spacing w:after="50" w:line="360" w:lineRule="auto" w:beforeLines="100"/>
        <w:ind w:left="0"/>
        <w:jc w:val="left"/>
      </w:pPr>
      <w:bookmarkStart w:name="u88d305b8" w:id="67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6"/>
    <w:bookmarkStart w:name="u2d29b052" w:id="68"/>
    <w:p>
      <w:pPr>
        <w:spacing w:after="50" w:line="360" w:lineRule="auto" w:beforeLines="100"/>
        <w:ind w:left="0"/>
        <w:jc w:val="left"/>
      </w:pPr>
      <w:bookmarkStart w:name="ue16fd594" w:id="6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bookmarkStart w:name="ue5126d70" w:id="70"/>
      <w:r>
        <w:rPr>
          <w:rFonts w:eastAsia="宋体" w:ascii="宋体"/>
        </w:rPr>
        <w:drawing>
          <wp:inline distT="0" distB="0" distL="0" distR="0">
            <wp:extent cx="5841999" cy="7944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3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8"/>
    <w:bookmarkStart w:name="u7573966f" w:id="71"/>
    <w:p>
      <w:pPr>
        <w:spacing w:after="50" w:line="360" w:lineRule="auto" w:beforeLines="100"/>
        <w:ind w:left="0"/>
        <w:jc w:val="left"/>
      </w:pPr>
      <w:bookmarkStart w:name="u7969c0cd" w:id="7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cfc60ce5" w:id="7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name="u1f68f2df" w:id="7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  <w:bookmarkStart w:name="uda942244" w:id="7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1">
      <w:start w:val="1"/>
      <w:numFmt w:val="lowerLetter"/>
      <w:lvlText w:val="%2."/>
      <w:lvlJc w:val="left"/>
      <w:pPr>
        <w:ind w:left="1560" w:hanging="360"/>
      </w:p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1">
      <w:start w:val="1"/>
      <w:numFmt w:val="lowerLetter"/>
      <w:lvlText w:val="%2."/>
      <w:lvlJc w:val="left"/>
      <w:pPr>
        <w:ind w:left="1560" w:hanging="360"/>
      </w:p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9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0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