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29.png"/>
  <Override ContentType="image/png" PartName="/word/media/document_image_rId3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【轨物方案】存量博弈时代，数据的所有权比使用权更重要：捍卫光伏电站业主的“数据主权”</w:t>
      </w:r>
    </w:p>
    <w:bookmarkEnd w:id="0"/>
    <w:bookmarkStart w:name="AJX7v" w:id="1"/>
    <w:p>
      <w:pPr>
        <w:pStyle w:val="Heading1"/>
        <w:spacing w:after="50" w:line="360" w:lineRule="auto" w:beforeLines="100"/>
        <w:ind w:left="0"/>
        <w:jc w:val="left"/>
      </w:pPr>
      <w:bookmarkStart w:name="QsLME" w:id="2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1"/>
    <w:bookmarkStart w:name="ua3536de1" w:id="3"/>
    <w:p>
      <w:pPr>
        <w:spacing w:after="50" w:line="360" w:lineRule="auto" w:beforeLines="100"/>
        <w:ind w:left="0"/>
        <w:jc w:val="left"/>
      </w:pPr>
      <w:bookmarkStart w:name="iGldr" w:id="4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9632e20a" w:id="5"/>
    <w:p>
      <w:pPr>
        <w:spacing w:after="50" w:line="360" w:lineRule="auto" w:beforeLines="100"/>
        <w:ind w:left="0"/>
        <w:jc w:val="left"/>
      </w:pPr>
      <w:bookmarkStart w:name="uaa362566" w:id="6"/>
      <w:r>
        <w:rPr>
          <w:rFonts w:eastAsia="宋体" w:ascii="宋体"/>
        </w:rPr>
        <w:drawing>
          <wp:inline distT="0" distB="0" distL="0" distR="0">
            <wp:extent cx="5841999" cy="13085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393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4ef967851b1ae93342bbdfc6d6cd6f17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中国光伏市场正经历一场深刻的范式转移：从单纯追求装机容量的“规模扩张”，转向精细化运营的“价值精耕”。全国存量光伏电站规模已突破 400GW，但在繁荣表象下，设备老化、效率衰减及电网兼容性差正演变为系统性的资产焦虑。</w:t>
      </w:r>
    </w:p>
    <w:bookmarkEnd w:id="7"/>
    <w:bookmarkStart w:name="d04801e777414a493cc68bbaecba1d2e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据行业实测数据，早期投运的电站普遍存在约 5% 的“沉默的损失”（Silent Loss）。这种发电量流失并非由于不可抗力，而是源于电站长期处于“盲维”状态。在长达 25 年的资产生命周期中，数据不再仅仅是运行记录，而是支撑资产增值、融资审计与理赔定责的“物理证据”。</w:t>
      </w:r>
    </w:p>
    <w:bookmarkEnd w:id="8"/>
    <w:bookmarkStart w:name="u31992e27" w:id="9"/>
    <w:p>
      <w:pPr>
        <w:spacing w:after="50" w:line="360" w:lineRule="auto" w:beforeLines="100"/>
        <w:ind w:left="0"/>
        <w:jc w:val="left"/>
      </w:pPr>
      <w:bookmarkStart w:name="u99e1f9ce" w:id="10"/>
      <w:r>
        <w:rPr>
          <w:rFonts w:eastAsia="宋体" w:ascii="宋体"/>
        </w:rPr>
        <w:drawing>
          <wp:inline distT="0" distB="0" distL="0" distR="0">
            <wp:extent cx="5841999" cy="57892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24800" cy="3302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223cbd05ec8898e539bfb46f1985f17b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站在第一性原理的角度，电站业主必须完成从“保姆式运维”到“</w:t>
      </w:r>
      <w:r>
        <w:rPr>
          <w:rFonts w:ascii="宋体" w:hAnsi="Times New Roman" w:eastAsia="宋体"/>
          <w:b/>
          <w:i w:val="false"/>
          <w:color w:val="07787e"/>
          <w:sz w:val="22"/>
        </w:rPr>
        <w:t>审计式管理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”的降维打击。前者是由于信息不对称而被迫依赖厂家，陷入“资产现状全看运气”的被动；后者则是通过掌握核心数据主权，将模糊的能量转换过程转化为精确的财务决策。</w:t>
      </w:r>
    </w:p>
    <w:bookmarkEnd w:id="11"/>
    <w:bookmarkStart w:name="u795b7ff1" w:id="12"/>
    <w:p>
      <w:pPr>
        <w:spacing w:after="50" w:line="360" w:lineRule="auto" w:beforeLines="100"/>
        <w:ind w:left="0"/>
        <w:jc w:val="left"/>
      </w:pPr>
      <w:bookmarkStart w:name="rOOCb" w:id="1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9ae1d381a7906894af958439b531c5fd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许多业主误以为拥有厂家提供的监控 APP 就实现了数字化，这其实是一个巨大的“数据围城”。</w:t>
      </w:r>
    </w:p>
    <w:bookmarkEnd w:id="14"/>
    <w:bookmarkStart w:name="41abb3ebd4a3de3c52490942ad8952a6" w:id="1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“运动员兼裁判员”的天然冲突：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厂家云平台的本质是硬件销售的售后延伸。当设备发生效率衰减或微小故障时，系统缺乏动力“自证其罪”主动提醒业主索赔，这导致了大量的隐形亏损。</w:t>
      </w:r>
    </w:p>
    <w:bookmarkEnd w:id="15"/>
    <w:bookmarkStart w:name="e6b2625b6a5ca249529e2f643135d24e" w:id="1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“黑盒运维”的资产风险：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大量存量电站受限于 2G 退网或协议不兼容，数据被锁死在厂家服务器中，形成了“数据孤岛”。一旦厂家服务调整，资产将瞬间面临“失联”恐惧。</w:t>
      </w:r>
    </w:p>
    <w:bookmarkEnd w:id="16"/>
    <w:bookmarkStart w:name="5517f29a6153f1e167c780f8af365be6" w:id="1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主权缺失的财务瓶颈：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业主仅拥有数据的“查看权”，而非真正的“所有权”。在涉及资产抵押、保险理赔或独立第三方审计时，厂家过滤后的数据往往不具备法律公信力，直接导致资产估值的减值。</w:t>
      </w:r>
    </w:p>
    <w:bookmarkEnd w:id="17"/>
    <w:bookmarkStart w:name="u118dfdc7" w:id="18"/>
    <w:p>
      <w:pPr>
        <w:spacing w:after="50" w:line="360" w:lineRule="auto" w:beforeLines="100"/>
        <w:ind w:left="0"/>
        <w:jc w:val="left"/>
      </w:pPr>
      <w:bookmarkStart w:name="u3c3e0d07" w:id="19"/>
      <w:r>
        <w:rPr>
          <w:rFonts w:eastAsia="宋体" w:ascii="宋体"/>
        </w:rPr>
        <w:drawing>
          <wp:inline distT="0" distB="0" distL="0" distR="0">
            <wp:extent cx="5842000" cy="58419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40134" cy="3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6rHHB" w:id="20"/>
    <w:p>
      <w:pPr>
        <w:pStyle w:val="Heading3"/>
        <w:spacing w:after="50" w:line="360" w:lineRule="auto" w:beforeLines="100"/>
        <w:ind w:left="0"/>
        <w:jc w:val="center"/>
      </w:pPr>
      <w:bookmarkStart w:name="ue67cf30d" w:id="21"/>
      <w:r>
        <w:rPr>
          <w:rFonts w:eastAsia="宋体" w:ascii="宋体"/>
        </w:rPr>
        <w:drawing>
          <wp:inline distT="0" distB="0" distL="0" distR="0">
            <wp:extent cx="5842000" cy="28227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8266" cy="291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b78895f1" w:id="22"/>
    <w:p>
      <w:pPr>
        <w:spacing w:after="50" w:line="360" w:lineRule="auto" w:beforeLines="100"/>
        <w:ind w:left="0"/>
        <w:jc w:val="left"/>
      </w:pPr>
      <w:bookmarkStart w:name="qjP5y" w:id="23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d6bbfc7b794cbc9bf87dd40859ec2c30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要拿回数据主权，并不需要对电站动“大手术”。依托</w:t>
      </w:r>
      <w:r>
        <w:rPr>
          <w:rFonts w:ascii="宋体" w:hAnsi="Times New Roman" w:eastAsia="宋体"/>
          <w:b/>
          <w:i w:val="false"/>
          <w:color w:val="07787e"/>
          <w:sz w:val="22"/>
        </w:rPr>
        <w:t>杭州电子科技大学博导团队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的产学研背书，轨物科技提出了基于物理层直连的“</w:t>
      </w:r>
      <w:r>
        <w:rPr>
          <w:rFonts w:ascii="宋体" w:hAnsi="Times New Roman" w:eastAsia="宋体"/>
          <w:b/>
          <w:i w:val="false"/>
          <w:color w:val="07787e"/>
          <w:sz w:val="22"/>
        </w:rPr>
        <w:t>微创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”技改方案。</w:t>
      </w:r>
    </w:p>
    <w:bookmarkEnd w:id="24"/>
    <w:bookmarkStart w:name="u1f165158" w:id="25"/>
    <w:p>
      <w:pPr>
        <w:spacing w:after="50" w:line="360" w:lineRule="auto" w:beforeLines="100"/>
        <w:ind w:left="0"/>
        <w:jc w:val="left"/>
      </w:pPr>
      <w:bookmarkStart w:name="ufd51de12" w:id="26"/>
      <w:r>
        <w:rPr>
          <w:rFonts w:eastAsia="宋体" w:ascii="宋体"/>
        </w:rPr>
        <w:drawing>
          <wp:inline distT="0" distB="0" distL="0" distR="0">
            <wp:extent cx="5842000" cy="58419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40134" cy="3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d71917f58acfea94fa723b65dbf3caf5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这套方案通过“三把手术刀”硬件架构，实现了“物理连接权”与“数据解释权”的解耦，且具备“零停电、零施工风险、30分钟极速上线”的绝对优势：</w:t>
      </w:r>
    </w:p>
    <w:bookmarkEnd w:id="27"/>
    <w:bookmarkStart w:name="75866c139d29e990f92023e33bbd6041" w:id="2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万能数据棒 (The Link)——解决看数难：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全协议兼容，直接拔掉原厂失效模块，即插即用接管 95% 以上主流逆变器品牌的数据流。</w:t>
      </w:r>
    </w:p>
    <w:bookmarkEnd w:id="28"/>
    <w:bookmarkStart w:name="88c4d931c5f6bfd2cb82d78aa73f27c0" w:id="2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红外抄表贴 (The Eye)——解决算钱难：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磁吸式安装，通过读取电表的物理红外脉冲，获得作为结算依据的“唯一真值”。</w:t>
      </w:r>
    </w:p>
    <w:bookmarkEnd w:id="29"/>
    <w:bookmarkStart w:name="Kx8V6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13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轨物科技红外抄表安装操作演示.mp4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30"/>
    <w:bookmarkStart w:name="a69de96d91d1186c3ae3bf2da4d1210c" w:id="31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边缘安全网关 (The Brain)——解决防火难：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配电柜里的“黑匣子”，通过卡扣式传感器监测线缆温度，毫秒级预警“热失控”隐患。</w:t>
      </w:r>
    </w:p>
    <w:bookmarkEnd w:id="31"/>
    <w:bookmarkStart w:name="195d3e3192ac11390e03fd544169dded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这种“</w:t>
      </w:r>
      <w:r>
        <w:rPr>
          <w:rFonts w:ascii="宋体" w:hAnsi="Times New Roman" w:eastAsia="宋体"/>
          <w:b/>
          <w:i w:val="false"/>
          <w:color w:val="07787e"/>
          <w:sz w:val="22"/>
        </w:rPr>
        <w:t>物理层直接采集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”的逻辑，确保业主获得的是第一手、不可篡改的原始数据，真正实现了数据主权向业主的回归。</w:t>
      </w:r>
    </w:p>
    <w:bookmarkEnd w:id="32"/>
    <w:bookmarkStart w:name="u6c73b04d" w:id="33"/>
    <w:p>
      <w:pPr>
        <w:spacing w:after="50" w:line="360" w:lineRule="auto" w:beforeLines="100"/>
        <w:ind w:left="0"/>
        <w:jc w:val="left"/>
      </w:pPr>
      <w:bookmarkStart w:name="WyKMU" w:id="34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cdd345cf4436b93313aad3ed37183118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在存量市场，数字化不应被视为开支（OPEX），而应被视为一项回报明确的投资。通过“</w:t>
      </w:r>
      <w:r>
        <w:rPr>
          <w:rFonts w:ascii="宋体" w:hAnsi="Times New Roman" w:eastAsia="宋体"/>
          <w:b/>
          <w:i w:val="false"/>
          <w:color w:val="07787e"/>
          <w:sz w:val="22"/>
        </w:rPr>
        <w:t>负成本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”模型，独立数据可以直接转化为真金白银。</w:t>
      </w:r>
    </w:p>
    <w:bookmarkEnd w:id="35"/>
    <w:bookmarkStart w:name="ub06272ba" w:id="36"/>
    <w:p>
      <w:pPr>
        <w:spacing w:after="50" w:line="360" w:lineRule="auto" w:beforeLines="100"/>
        <w:ind w:left="0"/>
        <w:jc w:val="left"/>
      </w:pPr>
      <w:bookmarkStart w:name="u48b19522" w:id="37"/>
      <w:r>
        <w:rPr>
          <w:rFonts w:eastAsia="宋体" w:ascii="宋体"/>
        </w:rPr>
        <w:drawing>
          <wp:inline distT="0" distB="0" distL="0" distR="0">
            <wp:extent cx="5841999" cy="58419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223200" cy="33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2e23667c1a6570e6c0089e539506902c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系统通过 AI 审计逻辑，对比“逆变器发电数据”与“红外表计实测数据”，能精准抓取偷漏电、线损异常及计量故障。通过 AI 诊断（如 IV 曲线扫描）精准识别“偷懒组串”，实验数据证明，该方案可实现</w:t>
      </w:r>
      <w:r>
        <w:rPr>
          <w:rFonts w:ascii="宋体" w:hAnsi="Times New Roman" w:eastAsia="宋体"/>
          <w:b/>
          <w:i w:val="false"/>
          <w:color w:val="07787e"/>
          <w:sz w:val="22"/>
        </w:rPr>
        <w:t>发电量提升 23.2%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，提升 </w:t>
      </w:r>
      <w:r>
        <w:rPr>
          <w:rFonts w:ascii="宋体" w:hAnsi="Times New Roman" w:eastAsia="宋体"/>
          <w:b/>
          <w:i w:val="false"/>
          <w:color w:val="07787e"/>
          <w:sz w:val="22"/>
        </w:rPr>
        <w:t>IRR 达 15% 以上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38"/>
    <w:bookmarkStart w:name="c588aeca4040dca6449266393ac8d3e8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100kW 工商业电站全生命周期 TCO 对比结论：</w:t>
      </w:r>
    </w:p>
    <w:bookmarkEnd w:id="39"/>
    <w:bookmarkStart w:name="be68445df194ae65b4a9708410c4abc1" w:id="4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传统硬件方案（仅基础监控）：TCO 总成本约为 15.5 万元。</w:t>
      </w:r>
    </w:p>
    <w:bookmarkEnd w:id="40"/>
    <w:bookmarkStart w:name="f35ae021d0b2b4ddcc16b209a1cae410" w:id="41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轨物独立审计方案：通过算法找回 5% 的消失电量并优化运维，25 年周期内累计产生约 </w:t>
      </w:r>
      <w:r>
        <w:rPr>
          <w:rFonts w:ascii="宋体" w:hAnsi="Times New Roman" w:eastAsia="宋体"/>
          <w:b/>
          <w:i w:val="false"/>
          <w:color w:val="07787e"/>
          <w:sz w:val="22"/>
        </w:rPr>
        <w:t>-8,000 元的净收益。</w:t>
      </w:r>
    </w:p>
    <w:bookmarkEnd w:id="41"/>
    <w:bookmarkStart w:name="fd3b7fab69a72fc569da346637e2166b" w:id="42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这意味着系统不仅实现了“自回本”，还额外创造了财务盈余。</w:t>
      </w:r>
    </w:p>
    <w:bookmarkEnd w:id="42"/>
    <w:bookmarkStart w:name="u8b1f97a4" w:id="43"/>
    <w:p>
      <w:pPr>
        <w:spacing w:after="50" w:line="360" w:lineRule="auto" w:beforeLines="100"/>
        <w:ind w:left="0"/>
        <w:jc w:val="left"/>
      </w:pPr>
      <w:bookmarkStart w:name="XRxE9" w:id="4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af70026fa83a2c65bff206d9f3c49435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针对不同类型的资产状态，业主应采取分层的数字化战略，以对抗熵增，实现资产价值最大化。</w:t>
      </w:r>
    </w:p>
    <w:bookmarkEnd w:id="45"/>
    <w:bookmarkStart w:name="u367ac2bf" w:id="46"/>
    <w:p>
      <w:pPr>
        <w:spacing w:after="50" w:line="360" w:lineRule="auto" w:beforeLines="100"/>
        <w:ind w:left="0"/>
        <w:jc w:val="left"/>
      </w:pPr>
      <w:bookmarkStart w:name="uc5b38a56" w:id="47"/>
      <w:r>
        <w:rPr>
          <w:rFonts w:eastAsia="宋体" w:ascii="宋体"/>
        </w:rPr>
        <w:drawing>
          <wp:inline distT="0" distB="0" distL="0" distR="0">
            <wp:extent cx="5841999" cy="144304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6666" cy="146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af89a938193371400c04cb10321071ff" w:id="4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老旧电站建议：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重点采用“微创”技改，解决 2G 退网后的“失联”焦虑与防火盲区。</w:t>
      </w:r>
    </w:p>
    <w:bookmarkEnd w:id="48"/>
    <w:bookmarkStart w:name="bb0299b64b9545ac3b316c12b223d385" w:id="49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中大型分布式资产：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建议升级至“旗舰版”，利用 AI 算法找回流失收益，实现规模扩大一倍、运维人员零增加。</w:t>
      </w:r>
    </w:p>
    <w:bookmarkEnd w:id="49"/>
    <w:bookmarkStart w:name="ue8308630" w:id="50"/>
    <w:p>
      <w:pPr>
        <w:spacing w:after="50" w:line="360" w:lineRule="auto" w:beforeLines="100"/>
        <w:ind w:left="0"/>
        <w:jc w:val="left"/>
      </w:pPr>
      <w:bookmarkStart w:name="u03168ca2" w:id="51"/>
      <w:r>
        <w:rPr>
          <w:rFonts w:eastAsia="宋体" w:ascii="宋体"/>
        </w:rPr>
        <w:drawing>
          <wp:inline distT="0" distB="0" distL="0" distR="0">
            <wp:extent cx="5842000" cy="58419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240134" cy="3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b2e1b1c3" w:id="52"/>
    <w:p>
      <w:pPr>
        <w:spacing w:after="50" w:line="360" w:lineRule="auto" w:beforeLines="100"/>
        <w:ind w:left="0"/>
        <w:jc w:val="left"/>
      </w:pPr>
      <w:bookmarkStart w:name="UWgl2" w:id="53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</w:p>
    <w:bookmarkEnd w:id="52"/>
    <w:bookmarkStart w:name="d34a9f2303158453d9d2fbbd812582b0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在能源转型的下半场，数据主权是所有商业模式的基石。掌握独立、客观的数据，不仅是为了安全，更是为了在存量博弈中捍卫本应属于您的每一度电。</w:t>
      </w:r>
    </w:p>
    <w:bookmarkEnd w:id="54"/>
    <w:bookmarkStart w:name="5ec5899b1ba12280181cc1da7bc1c8d6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我们呼吁广大业主：拒绝让您的电站成为受人摆布的“哑巴”设备。</w:t>
      </w:r>
    </w:p>
    <w:bookmarkEnd w:id="55"/>
    <w:bookmarkStart w:name="b92828040930e5e45bed561384d9a2c4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用</w:t>
      </w:r>
      <w:r>
        <w:rPr>
          <w:rFonts w:ascii="宋体" w:hAnsi="Times New Roman" w:eastAsia="宋体"/>
          <w:b/>
          <w:i w:val="false"/>
          <w:color w:val="07787e"/>
          <w:sz w:val="22"/>
        </w:rPr>
        <w:t>算力替代人力，用算法找回消失的 5%。</w:t>
      </w:r>
    </w:p>
    <w:bookmarkEnd w:id="56"/>
    <w:bookmarkStart w:name="u66f05d4b" w:id="57"/>
    <w:p>
      <w:pPr>
        <w:spacing w:after="50" w:line="360" w:lineRule="auto" w:beforeLines="100"/>
        <w:ind w:left="0"/>
        <w:jc w:val="left"/>
      </w:pPr>
      <w:bookmarkStart w:name="u63bd292b" w:id="58"/>
      <w:r>
        <w:rPr>
          <w:rFonts w:eastAsia="宋体" w:ascii="宋体"/>
        </w:rPr>
        <w:drawing>
          <wp:inline distT="0" distB="0" distL="0" distR="0">
            <wp:extent cx="5842000" cy="58419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240134" cy="3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7"/>
    <w:bookmarkStart w:name="0d902d1e731ccec8ddb894b5eb04bbbb" w:id="59"/>
    <w:p>
      <w:pPr>
        <w:spacing w:after="50" w:line="360" w:lineRule="auto" w:beforeLines="100"/>
        <w:ind w:left="0"/>
        <w:jc w:val="left"/>
      </w:pPr>
      <w:bookmarkStart w:name="u84891859" w:id="60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bookmarkStart w:name="u33cab519" w:id="61"/>
    <w:p>
      <w:pPr>
        <w:spacing w:after="50" w:line="360" w:lineRule="auto" w:beforeLines="100"/>
        <w:ind w:left="0"/>
        <w:jc w:val="left"/>
      </w:pPr>
      <w:bookmarkStart w:name="u23df1d88" w:id="62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uac09a62e" w:id="63"/>
    <w:p>
      <w:pPr>
        <w:spacing w:after="50" w:line="360" w:lineRule="auto" w:beforeLines="100"/>
        <w:ind w:left="0"/>
        <w:jc w:val="left"/>
      </w:pPr>
      <w:bookmarkStart w:name="u88d305b8" w:id="64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u2d29b052" w:id="65"/>
    <w:p>
      <w:pPr>
        <w:spacing w:after="50" w:line="360" w:lineRule="auto" w:beforeLines="100"/>
        <w:ind w:left="0"/>
        <w:jc w:val="left"/>
      </w:pPr>
      <w:bookmarkStart w:name="ue16fd594" w:id="66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248ae006" w:id="67"/>
    <w:p>
      <w:pPr>
        <w:spacing w:after="50" w:line="360" w:lineRule="auto" w:beforeLines="100"/>
        <w:ind w:left="0"/>
        <w:jc w:val="left"/>
      </w:pPr>
      <w:bookmarkStart w:name="u0e0cdad4" w:id="68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20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  <w:bookmarkStart w:name="u22df6966" w:id="69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  <w:bookmarkStart w:name="ud44a705a" w:id="70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  <w:bookmarkStart w:name="u11555435" w:id="7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  <w:bookmarkStart w:name="u8fdd8302" w:id="7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  <w:bookmarkStart w:name="u75a23edd" w:id="73"/>
      <w:r>
        <w:rPr>
          <w:rFonts w:eastAsia="宋体" w:ascii="宋体"/>
        </w:rPr>
        <w:drawing>
          <wp:inline distT="0" distB="0" distL="0" distR="0">
            <wp:extent cx="5841999" cy="2868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314266" cy="40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</w:p>
    <w:bookmarkEnd w:id="6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https://thingcom.yuque.com/dmfcly/lf3dyp/vfpf5eprhv5crpn1#Kx8V6" TargetMode="External" Type="http://schemas.openxmlformats.org/officeDocument/2006/relationships/hyperlink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29" Target="media/document_image_rId29.png" Type="http://schemas.openxmlformats.org/officeDocument/2006/relationships/image"/><Relationship Id="rId3" Target="numbering.xml" Type="http://schemas.openxmlformats.org/officeDocument/2006/relationships/numbering"/><Relationship Id="rId30" Target="media/document_image_rId30.png" Type="http://schemas.openxmlformats.org/officeDocument/2006/relationships/image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