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image/png" PartName="/word/media/document_image_rId16.png"/>
  <Override ContentType="image/png" PartName="/word/media/document_image_rId17.png"/>
  <Override ContentType="image/png" PartName="/word/media/document_image_rId18.png"/>
  <Override ContentType="image/png" PartName="/word/media/document_image_rId19.png"/>
  <Override ContentType="image/png" PartName="/word/media/document_image_rId20.png"/>
  <Override ContentType="image/png" PartName="/word/media/document_image_rId21.png"/>
  <Override ContentType="image/png" PartName="/word/media/document_image_rId22.png"/>
  <Override ContentType="image/png" PartName="/word/media/document_image_rId23.png"/>
  <Override ContentType="image/png" PartName="/word/media/document_image_rId24.png"/>
  <Override ContentType="image/png" PartName="/word/media/document_image_rId25.png"/>
  <Override ContentType="image/png" PartName="/word/media/document_image_rId26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【轨物洞见】拒绝“糊涂账”：为什么您的电站需要一位不生产电、只捍卫价值的“独立审计师”？</w:t>
      </w:r>
    </w:p>
    <w:p>
      <w:pPr>
        <w:pStyle w:val="Heading1"/>
        <w:spacing w:after="50" w:line="360" w:lineRule="auto" w:beforeLines="100"/>
        <w:ind w:left="0"/>
        <w:jc w:val="left"/>
      </w:pPr>
      <w:bookmarkStart w:name="Zvat6" w:id="0"/>
      <w:bookmarkStart w:name="QsLME" w:id="1"/>
      <w:r>
        <w:rPr>
          <w:rFonts w:eastAsia="宋体" w:ascii="宋体"/>
        </w:rPr>
        <w:drawing>
          <wp:inline distT="0" distB="0" distL="0" distR="0">
            <wp:extent cx="5842000" cy="37972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46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ua3536de1" w:id="2"/>
    <w:p>
      <w:pPr>
        <w:spacing w:after="50" w:line="360" w:lineRule="auto" w:beforeLines="100"/>
        <w:ind w:left="0"/>
        <w:jc w:val="left"/>
      </w:pPr>
      <w:bookmarkStart w:name="iGldr" w:id="3"/>
      <w:r>
        <w:rPr>
          <w:rFonts w:eastAsia="宋体" w:ascii="宋体"/>
        </w:rPr>
        <w:drawing>
          <wp:inline distT="0" distB="0" distL="0" distR="0">
            <wp:extent cx="5842000" cy="3680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416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bookmarkEnd w:id="2"/>
    <w:bookmarkStart w:name="u9632e20a" w:id="4"/>
    <w:p>
      <w:pPr>
        <w:spacing w:after="50" w:line="360" w:lineRule="auto" w:beforeLines="100"/>
        <w:ind w:left="0"/>
        <w:jc w:val="left"/>
      </w:pPr>
      <w:bookmarkStart w:name="ubbf3f644" w:id="5"/>
      <w:r>
        <w:rPr>
          <w:rFonts w:eastAsia="宋体" w:ascii="宋体"/>
        </w:rPr>
        <w:drawing>
          <wp:inline distT="0" distB="0" distL="0" distR="0">
            <wp:extent cx="5842000" cy="130860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0" cy="3925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"/>
    </w:p>
    <w:bookmarkEnd w:id="4"/>
    <w:bookmarkStart w:name="82feb056226351da5e1a4a8d8723cbcc" w:id="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中国目前拥有超过 400GW 的存量光伏电站。作为数字化战略专家，我们必须指出：这些电站并非静态的设备堆砌，而是长达 25 年的金融资产。然而，随着投运时间增长，由于“第一性原理”中不可逆的“</w:t>
      </w:r>
      <w:r>
        <w:rPr>
          <w:rFonts w:ascii="宋体" w:hAnsi="Times New Roman" w:eastAsia="宋体"/>
          <w:b/>
          <w:i w:val="false"/>
          <w:color w:val="07787e"/>
          <w:sz w:val="22"/>
        </w:rPr>
        <w:t>熵增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（Entropy）”过程，物理连接的老化正演变为财务上的崩塌。目前，行业正被三个“利润黑洞”疯狂吞噬：</w:t>
      </w:r>
    </w:p>
    <w:bookmarkEnd w:id="6"/>
    <w:bookmarkStart w:name="dcbb4366b83f3d7d9dde4a9731348ab1" w:id="7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器材杂：数据孤岛的负面熵。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存量电站多为“万国牌”设备，协议互不兼容。数据被锁死在各厂家私有云端，形成无法统一穿透的信息孤岛，管理者对资产现状处于“看不见”的盲维状态。</w:t>
      </w:r>
    </w:p>
    <w:bookmarkEnd w:id="7"/>
    <w:bookmarkStart w:name="a3f7d5e32fa3c34bfa8ea7ca65514156" w:id="8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效率低：高 TCO 的人力搬运。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传统的“保姆式运维”依赖人工抄表，这占到了近 90% 的无效运维支出。在数字化程度低下的现状中，由于响应滞后导致的效率损耗正在实时发生。</w:t>
      </w:r>
    </w:p>
    <w:bookmarkEnd w:id="8"/>
    <w:bookmarkStart w:name="f57dc07053d479a3496e0492b14fdad4" w:id="9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糊涂账：消失的 5% 去哪了？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这是一个 visceral 的行业痛点：</w:t>
      </w:r>
      <w:r>
        <w:rPr>
          <w:rFonts w:ascii="宋体" w:hAnsi="Times New Roman" w:eastAsia="宋体"/>
          <w:b/>
          <w:i w:val="false"/>
          <w:color w:val="07787e"/>
          <w:sz w:val="22"/>
        </w:rPr>
        <w:t>逆变器读数 1000 度 ≠ 关口表结算 950 度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。这消失的 5% 发电量究竟是由于线损过大、计量偏差，还是隐性偷漏电？在缺乏独立审计的情况下，这笔“糊涂账”成了电站老板永远无法回收的沉没成本。</w:t>
      </w:r>
    </w:p>
    <w:bookmarkEnd w:id="9"/>
    <w:bookmarkStart w:name="u64ea7497" w:id="10"/>
    <w:p>
      <w:pPr>
        <w:spacing w:after="50" w:line="360" w:lineRule="auto" w:beforeLines="100"/>
        <w:ind w:left="0"/>
        <w:jc w:val="left"/>
      </w:pPr>
      <w:bookmarkStart w:name="u27ae4a0f" w:id="11"/>
      <w:r>
        <w:rPr>
          <w:rFonts w:eastAsia="宋体" w:ascii="宋体"/>
        </w:rPr>
        <w:drawing>
          <wp:inline distT="0" distB="0" distL="0" distR="0">
            <wp:extent cx="5842000" cy="311961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653200" cy="23844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1"/>
    </w:p>
    <w:bookmarkEnd w:id="10"/>
    <w:bookmarkStart w:name="fb1aa1304fe5038d661826f14113707d" w:id="1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在“看不见”真相的现状下，传统的粗放运维已无法实现 LCOE（平准化度电成本）的最优解。找回消失的利润，必须引入一套基于物理真值的治理模式。 </w:t>
      </w:r>
    </w:p>
    <w:bookmarkEnd w:id="12"/>
    <w:bookmarkStart w:name="u17c80380" w:id="13"/>
    <w:p>
      <w:pPr>
        <w:spacing w:after="50" w:line="360" w:lineRule="auto" w:beforeLines="100"/>
        <w:ind w:left="0"/>
        <w:jc w:val="left"/>
      </w:pPr>
      <w:bookmarkStart w:name="VmVHw" w:id="14"/>
      <w:r>
        <w:rPr>
          <w:rFonts w:eastAsia="宋体" w:ascii="宋体"/>
        </w:rPr>
        <w:drawing>
          <wp:inline distT="0" distB="0" distL="0" distR="0">
            <wp:extent cx="5841999" cy="137280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559867" cy="4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4"/>
    </w:p>
    <w:bookmarkEnd w:id="13"/>
    <w:bookmarkStart w:name="135f7dbf2fd8fe574bedadaced35f0f5" w:id="1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光伏资产管理中存在着深刻的利益对立。长期以来，业主依赖逆变器厂家提供的 APP 进行监测。然而，从资产审计的严谨性来看，这种模式存在天然缺陷：运动员不能同时担任裁判员。</w:t>
      </w:r>
    </w:p>
    <w:bookmarkEnd w:id="15"/>
    <w:bookmarkStart w:name="638f4d7d5223a94586033c9f9cb4daa7" w:id="16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数据主权（Data Sovereignty）的丧失：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厂家 APP 的核心动力是证明其设备“运行正常”，而非揭示其效率的缓慢衰减或隐性故障。厂家系统缺乏“自证其罪”的动机。更重要的是，一旦厂家服务调整，业主将面临“资产失联”的风险。</w:t>
      </w:r>
    </w:p>
    <w:bookmarkEnd w:id="16"/>
    <w:bookmarkStart w:name="fb4e6fce2a6c1527a66ee49b13f6dfa4" w:id="17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独立审计的价值：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轨物科技以“独立审计师”身份介入，通过物理层红外抄表直采获取“真值”数据。这种独立性确保了数据的客观透明，是银行抵押评估与保险理赔中不可或缺的“审计信根（Trust Root）”。</w:t>
      </w:r>
    </w:p>
    <w:bookmarkEnd w:id="17"/>
    <w:bookmarkStart w:name="h7Psv" w:id="18"/>
    <w:p>
      <w:pPr>
        <w:pStyle w:val="Heading3"/>
        <w:spacing w:after="50" w:line="360" w:lineRule="auto" w:beforeLines="100"/>
        <w:ind w:left="0"/>
        <w:jc w:val="center"/>
      </w:pPr>
      <w:r>
        <w:rPr>
          <w:rFonts w:ascii="宋体" w:hAnsi="Times New Roman" w:eastAsia="宋体"/>
          <w:color w:val="07787e"/>
        </w:rPr>
        <w:t>厂家原厂监测 vs. 轨物独立审计</w:t>
      </w:r>
    </w:p>
    <w:bookmarkEnd w:id="18"/>
    <w:bookmarkStart w:name="ub171fad8" w:id="19"/>
    <w:p>
      <w:pPr>
        <w:spacing w:after="50" w:line="360" w:lineRule="auto" w:beforeLines="100"/>
        <w:ind w:left="0"/>
        <w:jc w:val="left"/>
      </w:pPr>
      <w:bookmarkStart w:name="ubeeeec0e" w:id="20"/>
      <w:r>
        <w:rPr>
          <w:rFonts w:eastAsia="宋体" w:ascii="宋体"/>
        </w:rPr>
        <w:drawing>
          <wp:inline distT="0" distB="0" distL="0" distR="0">
            <wp:extent cx="5841999" cy="185998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09734" cy="18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0"/>
    </w:p>
    <w:bookmarkEnd w:id="19"/>
    <w:bookmarkStart w:name="u87211552" w:id="21"/>
    <w:p>
      <w:pPr>
        <w:spacing w:after="50" w:line="360" w:lineRule="auto" w:beforeLines="100"/>
        <w:ind w:left="0"/>
        <w:jc w:val="left"/>
      </w:pPr>
      <w:bookmarkStart w:name="Z4Zgd" w:id="22"/>
      <w:r>
        <w:rPr>
          <w:rFonts w:eastAsia="宋体" w:ascii="宋体"/>
        </w:rPr>
        <w:drawing>
          <wp:inline distT="0" distB="0" distL="0" distR="0">
            <wp:extent cx="5842000" cy="134366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0" cy="403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2"/>
    </w:p>
    <w:bookmarkEnd w:id="21"/>
    <w:bookmarkStart w:name="10ceba228e7b61212da7cae9a5dcd932" w:id="2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针对老旧电站技改，我们坚持“零熵增”</w:t>
      </w:r>
      <w:r>
        <w:rPr>
          <w:rFonts w:ascii="宋体" w:hAnsi="Times New Roman" w:eastAsia="宋体"/>
          <w:b/>
          <w:i w:val="false"/>
          <w:color w:val="000000"/>
          <w:sz w:val="22"/>
        </w:rPr>
        <w:t>与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“不扰动”的准则。通过“三把手术刀”般的精密硬件，在 30 分钟内完成“微创手术”：</w:t>
      </w:r>
    </w:p>
    <w:bookmarkEnd w:id="23"/>
    <w:bookmarkStart w:name="626d0a40e6b5a90e9b7f33194f7b91b8" w:id="24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红外抄表贴 (The Eye) —— 解决“算钱难”：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采用磁吸式安装，对准电表红外口即可。</w:t>
      </w:r>
      <w:r>
        <w:rPr>
          <w:rFonts w:ascii="宋体" w:hAnsi="Times New Roman" w:eastAsia="宋体"/>
          <w:b/>
          <w:i w:val="false"/>
          <w:color w:val="07787e"/>
          <w:sz w:val="22"/>
        </w:rPr>
        <w:t>0 接线、0 拆表、0 停电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。它能 24 小时自动读取 DL/T 645 冻结数据，让“哑巴”电表秒变智能，提供不可篡改的结算真值。</w:t>
      </w:r>
    </w:p>
    <w:bookmarkEnd w:id="24"/>
    <w:bookmarkStart w:name="82bd435a8d75f87f7828aacbba5bd350" w:id="25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万能数据棒 (The Link) —— 解决“看数难”：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作为全协议翻译器，它具备“协议逆向工程”能力，适配 95% 以上品牌及已退市的“僵尸”设备。即插即用，通过 4G 全网通将碎片化数据清洗为标准 JSON 包。</w:t>
      </w:r>
    </w:p>
    <w:bookmarkEnd w:id="25"/>
    <w:bookmarkStart w:name="6937bca8475e8f2eed63274d1b7e0f92" w:id="26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边缘安全网关 (The Brain) —— 解决“防火难”</w:t>
      </w:r>
      <w:r>
        <w:rPr>
          <w:rFonts w:ascii="宋体" w:hAnsi="Times New Roman" w:eastAsia="宋体"/>
          <w:b/>
          <w:i w:val="false"/>
          <w:color w:val="000000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针对老旧并网柜因接触电阻增加引发的“热失控（Thermal Runaway）”，利用</w:t>
      </w:r>
      <w:r>
        <w:rPr>
          <w:rFonts w:ascii="宋体" w:hAnsi="Times New Roman" w:eastAsia="宋体"/>
          <w:b/>
          <w:i w:val="false"/>
          <w:color w:val="07787e"/>
          <w:sz w:val="22"/>
        </w:rPr>
        <w:t>卡扣式（Clip-on）传感器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实时监测线缆温升。根据焦耳定律（Q=I^2Rt），当温度触碰 </w:t>
      </w:r>
      <w:r>
        <w:rPr>
          <w:rFonts w:ascii="宋体" w:hAnsi="Times New Roman" w:eastAsia="宋体"/>
          <w:b/>
          <w:i w:val="false"/>
          <w:color w:val="07787e"/>
          <w:sz w:val="22"/>
        </w:rPr>
        <w:t>80°C 红色警戒线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时，网关实现毫秒级预警。</w:t>
      </w:r>
    </w:p>
    <w:bookmarkEnd w:id="26"/>
    <w:bookmarkStart w:name="u0f3d99a1" w:id="27"/>
    <w:p>
      <w:pPr>
        <w:spacing w:after="50" w:line="360" w:lineRule="auto" w:beforeLines="100"/>
        <w:ind w:left="0"/>
        <w:jc w:val="left"/>
      </w:pPr>
      <w:bookmarkStart w:name="u2ece127b" w:id="28"/>
      <w:r>
        <w:rPr>
          <w:rFonts w:eastAsia="宋体" w:ascii="宋体"/>
        </w:rPr>
        <w:drawing>
          <wp:inline distT="0" distB="0" distL="0" distR="0">
            <wp:extent cx="5842000" cy="325982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670132" cy="2492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8"/>
    </w:p>
    <w:bookmarkEnd w:id="27"/>
    <w:bookmarkStart w:name="zsoH8" w:id="29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7787e"/>
        </w:rPr>
        <w:t>“30 分钟微创手术”流程模拟：</w:t>
      </w:r>
    </w:p>
    <w:bookmarkEnd w:id="29"/>
    <w:bookmarkStart w:name="960ab20707d25768a65310d4fae49f0e" w:id="30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第 0-10 分钟：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无感进场，无需拉闸，完成磁吸、插拔与卡扣物理安装。</w:t>
      </w:r>
    </w:p>
    <w:bookmarkEnd w:id="30"/>
    <w:bookmarkStart w:name="97f0df1500b0aeb5c362b3714e9c872a" w:id="31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第 10-20 分钟：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手机扫码绑定，边缘网关自动识别协议，完成“数字握手”。</w:t>
      </w:r>
    </w:p>
    <w:bookmarkEnd w:id="31"/>
    <w:bookmarkStart w:name="7f05541946440c3265f41a3009ae5f5d" w:id="32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第 20-30 分钟：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云端上线。确定性现金流数据实时同步，电站焕然一新。</w:t>
      </w:r>
    </w:p>
    <w:bookmarkEnd w:id="32"/>
    <w:bookmarkStart w:name="ub8ef9120" w:id="33"/>
    <w:p>
      <w:pPr>
        <w:spacing w:after="50" w:line="360" w:lineRule="auto" w:beforeLines="100"/>
        <w:ind w:left="0"/>
        <w:jc w:val="left"/>
      </w:pPr>
      <w:bookmarkStart w:name="y2j6Z" w:id="34"/>
      <w:r>
        <w:rPr>
          <w:rFonts w:eastAsia="宋体" w:ascii="宋体"/>
        </w:rPr>
        <w:drawing>
          <wp:inline distT="0" distB="0" distL="0" distR="0">
            <wp:extent cx="5842000" cy="137285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238133" cy="405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4"/>
    </w:p>
    <w:bookmarkEnd w:id="33"/>
    <w:bookmarkStart w:name="17e5a63089368874e50310e21aef2129" w:id="3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对于运维商老板而言，数字化不是开支，而是高收益理财。我们将数字化系统转变为“负成本资产”：</w:t>
      </w:r>
    </w:p>
    <w:bookmarkEnd w:id="35"/>
    <w:bookmarkStart w:name="a470906c357c50069ef76533777df0c4" w:id="36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TCO 负成本模型：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通过 AI 算法找回的 5% 发电收益，在生命周期内远超订阅费用。</w:t>
      </w:r>
    </w:p>
    <w:bookmarkEnd w:id="36"/>
    <w:bookmarkStart w:name="59678c3658030ada176b6054698b588e" w:id="37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算力替代人力：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数字化审计将单人管理容量上限从 10MW 提升至 50MW，实现“规模扩大一倍，人员零增加”。</w:t>
      </w:r>
    </w:p>
    <w:bookmarkEnd w:id="37"/>
    <w:bookmarkStart w:name="ff64322920e269f34f6dfda07dc664ee" w:id="38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CAPEX 财务优化：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我们提供“5 年打包服务”，允许运维商将传统的运营成本 (OPEX) 转化为建设投入 (CAPEX)，不仅简化审批，更能优化首年抵税额度。</w:t>
      </w:r>
    </w:p>
    <w:bookmarkEnd w:id="38"/>
    <w:bookmarkStart w:name="GhaP9" w:id="39"/>
    <w:p>
      <w:pPr>
        <w:pStyle w:val="Heading3"/>
        <w:spacing w:after="50" w:line="360" w:lineRule="auto" w:beforeLines="100"/>
        <w:ind w:left="0"/>
        <w:jc w:val="center"/>
      </w:pPr>
      <w:bookmarkStart w:name="u1ab63b1c" w:id="40"/>
      <w:r>
        <w:rPr>
          <w:rFonts w:eastAsia="宋体" w:ascii="宋体"/>
        </w:rPr>
        <w:drawing>
          <wp:inline distT="0" distB="0" distL="0" distR="0">
            <wp:extent cx="5841999" cy="244803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60534" cy="2497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0"/>
    </w:p>
    <w:bookmarkEnd w:id="39"/>
    <w:bookmarkStart w:name="u2c83f244" w:id="41"/>
    <w:p>
      <w:pPr>
        <w:spacing w:after="50" w:line="360" w:lineRule="auto" w:beforeLines="100"/>
        <w:ind w:left="0"/>
        <w:jc w:val="left"/>
      </w:pPr>
      <w:bookmarkStart w:name="i1paE" w:id="42"/>
      <w:r>
        <w:rPr>
          <w:rFonts w:eastAsia="宋体" w:ascii="宋体"/>
        </w:rPr>
        <w:drawing>
          <wp:inline distT="0" distB="0" distL="0" distR="0">
            <wp:extent cx="5842000" cy="137285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238133" cy="405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2"/>
    </w:p>
    <w:bookmarkEnd w:id="41"/>
    <w:bookmarkStart w:name="77a5036eab7c711c8768da046f430b50" w:id="4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软件是“数据解释权”的载体。轨物 SaaS (V1.0) 不仅是工具，更是确定的价值引擎：</w:t>
      </w:r>
    </w:p>
    <w:bookmarkEnd w:id="43"/>
    <w:bookmarkStart w:name="dcfe4601ee488984b15a6658c66ac496" w:id="44"/>
    <w:p>
      <w:pPr>
        <w:numPr>
          <w:ilvl w:val="0"/>
          <w:numId w:val="6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收益审计中心 (The Accountant)：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独创“双轨对账（Dual Track）”视图——虚线展示逆变器发电量，实线展示红外抄表实测真值。两条线的积分差即为线损或流失。自动生成电网级结算 PDF。</w:t>
      </w:r>
    </w:p>
    <w:bookmarkEnd w:id="44"/>
    <w:bookmarkStart w:name="8ec0e9c614e169a21f0859cbcefcb461" w:id="45"/>
    <w:p>
      <w:pPr>
        <w:numPr>
          <w:ilvl w:val="0"/>
          <w:numId w:val="6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设备健康诊断 (The Doctor)：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利用“I-V 曲线指纹识别”，精准揪出灰尘遮挡、组件隐裂、二极管故障等“偷懒”组串。</w:t>
      </w:r>
    </w:p>
    <w:bookmarkEnd w:id="45"/>
    <w:bookmarkStart w:name="d49fe986799b62e1d9d0af2473d023ea" w:id="46"/>
    <w:p>
      <w:pPr>
        <w:numPr>
          <w:ilvl w:val="0"/>
          <w:numId w:val="6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安全预警中心 (The Guard)：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提供配电柜热力图，记录从检测到超温到预警的“告警溯源时间轴”，作为运维商事故定责的“免责证据链”。</w:t>
      </w:r>
    </w:p>
    <w:bookmarkEnd w:id="46"/>
    <w:bookmarkStart w:name="b2af3ea134c52c4b9f7a575d09d3982c" w:id="47"/>
    <w:p>
      <w:pPr>
        <w:numPr>
          <w:ilvl w:val="0"/>
          <w:numId w:val="6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全能管家包 (The Manager)：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包含上述所有功能。</w:t>
      </w:r>
    </w:p>
    <w:bookmarkEnd w:id="47"/>
    <w:bookmarkStart w:name="u498476b0" w:id="48"/>
    <w:p>
      <w:pPr>
        <w:spacing w:after="50" w:line="360" w:lineRule="auto" w:beforeLines="100"/>
        <w:ind w:left="0"/>
        <w:jc w:val="left"/>
      </w:pPr>
      <w:bookmarkStart w:name="u134b15a8" w:id="49"/>
      <w:r>
        <w:rPr>
          <w:rFonts w:eastAsia="宋体" w:ascii="宋体"/>
        </w:rPr>
        <w:drawing>
          <wp:inline distT="0" distB="0" distL="0" distR="0">
            <wp:extent cx="5842000" cy="325982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653200" cy="24916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9"/>
    </w:p>
    <w:bookmarkEnd w:id="48"/>
    <w:bookmarkStart w:name="c744b900cd73b507b2c4c1b90bf56eda" w:id="5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心理战术应用：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系统遵循“由奢入俭难”原则。3 个月免费试用结束后，非续费用户界面将覆盖</w:t>
      </w:r>
      <w:r>
        <w:rPr>
          <w:rFonts w:ascii="宋体" w:hAnsi="Times New Roman" w:eastAsia="宋体"/>
          <w:b/>
          <w:i w:val="false"/>
          <w:color w:val="000000"/>
          <w:sz w:val="22"/>
        </w:rPr>
        <w:t>半透明灰色遮罩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并弹出提醒：“试用期结束。</w:t>
      </w:r>
    </w:p>
    <w:bookmarkEnd w:id="50"/>
    <w:bookmarkStart w:name="u641ac1ec" w:id="51"/>
    <w:p>
      <w:pPr>
        <w:spacing w:after="50" w:line="360" w:lineRule="auto" w:beforeLines="100"/>
        <w:ind w:left="0"/>
        <w:jc w:val="left"/>
      </w:pPr>
      <w:bookmarkStart w:name="OqPc8" w:id="52"/>
      <w:r>
        <w:rPr>
          <w:rFonts w:eastAsia="宋体" w:ascii="宋体"/>
        </w:rPr>
        <w:drawing>
          <wp:inline distT="0" distB="0" distL="0" distR="0">
            <wp:extent cx="5842000" cy="137285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238133" cy="405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2"/>
    </w:p>
    <w:bookmarkEnd w:id="51"/>
    <w:bookmarkStart w:name="u0291057b" w:id="53"/>
    <w:p>
      <w:pPr>
        <w:spacing w:after="50" w:line="360" w:lineRule="auto" w:beforeLines="100"/>
        <w:ind w:left="0"/>
        <w:jc w:val="left"/>
      </w:pPr>
      <w:bookmarkStart w:name="uca9c30fa" w:id="54"/>
      <w:r>
        <w:rPr>
          <w:rFonts w:eastAsia="宋体" w:ascii="宋体"/>
        </w:rPr>
        <w:drawing>
          <wp:inline distT="0" distB="0" distL="0" distR="0">
            <wp:extent cx="5842000" cy="325982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653200" cy="24916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4"/>
    </w:p>
    <w:bookmarkEnd w:id="53"/>
    <w:bookmarkStart w:name="bc4f86f48b578149af053461218ab980" w:id="5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存量光伏电站不应在“盲维”中沦为不良资产。作为运维商老板，您需要从忙于灭火的“保洁员”转型为精通资产增值的“精算师”。</w:t>
      </w:r>
    </w:p>
    <w:bookmarkEnd w:id="55"/>
    <w:bookmarkStart w:name="1bd92608016049abaabbda443cb54607" w:id="5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轨物科技依托</w:t>
      </w:r>
      <w:r>
        <w:rPr>
          <w:rFonts w:ascii="宋体" w:hAnsi="Times New Roman" w:eastAsia="宋体"/>
          <w:b/>
          <w:i w:val="false"/>
          <w:color w:val="07787e"/>
          <w:sz w:val="22"/>
        </w:rPr>
        <w:t>杭州电子科技大学 AIoT 联合实验室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，凭借 </w:t>
      </w:r>
      <w:r>
        <w:rPr>
          <w:rFonts w:ascii="宋体" w:hAnsi="Times New Roman" w:eastAsia="宋体"/>
          <w:b/>
          <w:i w:val="false"/>
          <w:color w:val="07787e"/>
          <w:sz w:val="22"/>
        </w:rPr>
        <w:t>18 项发明专利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的技术底座，为您承诺：</w:t>
      </w:r>
    </w:p>
    <w:bookmarkEnd w:id="56"/>
    <w:bookmarkStart w:name="798b122a328c5008f350b87463b52ff9" w:id="57"/>
    <w:p>
      <w:pPr>
        <w:numPr>
          <w:ilvl w:val="0"/>
          <w:numId w:val="7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零风险试用：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免费为您的电站做一次深度“体检”，用数据实证 ROI。</w:t>
      </w:r>
    </w:p>
    <w:bookmarkEnd w:id="57"/>
    <w:bookmarkStart w:name="9898640b1929a2b3dfd9b43998bed5fa" w:id="58"/>
    <w:p>
      <w:pPr>
        <w:numPr>
          <w:ilvl w:val="0"/>
          <w:numId w:val="7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极致背书：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我们敢于向所有资方承诺——</w:t>
      </w:r>
      <w:r>
        <w:rPr>
          <w:rFonts w:ascii="宋体" w:hAnsi="Times New Roman" w:eastAsia="宋体"/>
          <w:b/>
          <w:i w:val="false"/>
          <w:color w:val="07787e"/>
          <w:sz w:val="22"/>
        </w:rPr>
        <w:t>“数据不准，设备送您”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。</w:t>
      </w:r>
    </w:p>
    <w:bookmarkEnd w:id="58"/>
    <w:bookmarkStart w:name="bf64922b8fbded80501a6d01c91b0c2e" w:id="5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用算力替代人力，用算法找回消失的 5%</w:t>
      </w:r>
      <w:r>
        <w:rPr>
          <w:rFonts w:ascii="宋体" w:hAnsi="Times New Roman" w:eastAsia="宋体"/>
          <w:b/>
          <w:i w:val="false"/>
          <w:color w:val="000000"/>
          <w:sz w:val="22"/>
        </w:rPr>
        <w:t>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让我们共同捍卫每一度电的确定性。</w:t>
      </w:r>
    </w:p>
    <w:bookmarkEnd w:id="59"/>
    <w:bookmarkStart w:name="f29274c778840adfaa5a54ee9ecc91d0" w:id="60"/>
    <w:p>
      <w:pPr>
        <w:spacing w:after="50" w:line="360" w:lineRule="auto" w:beforeLines="100"/>
        <w:ind w:left="0"/>
        <w:jc w:val="left"/>
      </w:pPr>
      <w:bookmarkStart w:name="u84891859" w:id="61"/>
      <w:r>
        <w:rPr>
          <w:rFonts w:eastAsia="宋体" w:ascii="宋体"/>
        </w:rPr>
        <w:drawing>
          <wp:inline distT="0" distB="0" distL="0" distR="0">
            <wp:extent cx="5842000" cy="162407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5927337" cy="2666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1"/>
    </w:p>
    <w:bookmarkEnd w:id="60"/>
    <w:bookmarkStart w:name="u33cab519" w:id="62"/>
    <w:p>
      <w:pPr>
        <w:spacing w:after="50" w:line="360" w:lineRule="auto" w:beforeLines="100"/>
        <w:ind w:left="0"/>
        <w:jc w:val="left"/>
      </w:pPr>
      <w:bookmarkStart w:name="u23df1d88" w:id="63"/>
      <w:r>
        <w:rPr>
          <w:rFonts w:eastAsia="宋体" w:ascii="宋体"/>
        </w:rPr>
        <w:drawing>
          <wp:inline distT="0" distB="0" distL="0" distR="0">
            <wp:extent cx="5841999" cy="329487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207067" cy="801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3"/>
    </w:p>
    <w:bookmarkEnd w:id="62"/>
    <w:bookmarkStart w:name="uac09a62e" w:id="64"/>
    <w:p>
      <w:pPr>
        <w:spacing w:after="50" w:line="360" w:lineRule="auto" w:beforeLines="100"/>
        <w:ind w:left="0"/>
        <w:jc w:val="left"/>
      </w:pPr>
      <w:bookmarkStart w:name="u88d305b8" w:id="65"/>
      <w:r>
        <w:rPr>
          <w:rFonts w:eastAsia="宋体" w:ascii="宋体"/>
        </w:rPr>
        <w:drawing>
          <wp:inline distT="0" distB="0" distL="0" distR="0">
            <wp:extent cx="5842000" cy="472607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694400" cy="15123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5"/>
    </w:p>
    <w:bookmarkEnd w:id="64"/>
    <w:bookmarkStart w:name="u2d29b052" w:id="66"/>
    <w:p>
      <w:pPr>
        <w:spacing w:after="50" w:line="360" w:lineRule="auto" w:beforeLines="100"/>
        <w:ind w:left="0"/>
        <w:jc w:val="left"/>
      </w:pPr>
      <w:bookmarkStart w:name="ue16fd594" w:id="67"/>
      <w:r>
        <w:rPr>
          <w:rFonts w:eastAsia="宋体" w:ascii="宋体"/>
        </w:rPr>
        <w:drawing>
          <wp:inline distT="0" distB="0" distL="0" distR="0">
            <wp:extent cx="5842000" cy="4848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8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7"/>
    </w:p>
    <w:bookmarkEnd w:id="66"/>
    <w:bookmarkStart w:name="uee1db6bf" w:id="68"/>
    <w:p>
      <w:pPr>
        <w:spacing w:after="50" w:line="360" w:lineRule="auto" w:beforeLines="100"/>
        <w:ind w:left="0"/>
        <w:jc w:val="left"/>
      </w:pPr>
      <w:bookmarkStart w:name="u64ddf743" w:id="69"/>
      <w:r>
        <w:rPr>
          <w:rFonts w:eastAsia="宋体" w:ascii="宋体"/>
        </w:rPr>
        <w:drawing>
          <wp:inline distT="0" distB="0" distL="0" distR="0">
            <wp:extent cx="5841999" cy="52576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690666" cy="20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9"/>
    </w:p>
    <w:bookmarkEnd w:id="68"/>
    <w:bookmarkStart w:name="ua212b3e3" w:id="70"/>
    <w:p>
      <w:pPr>
        <w:spacing w:after="50" w:line="360" w:lineRule="auto" w:beforeLines="100"/>
        <w:ind w:left="0"/>
        <w:jc w:val="left"/>
      </w:pPr>
      <w:bookmarkStart w:name="u86a1eddf" w:id="71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1"/>
      <w:bookmarkStart w:name="u91fdfc8a" w:id="72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2"/>
      <w:bookmarkStart w:name="u8c022099" w:id="73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3"/>
      <w:bookmarkStart w:name="uc8745195" w:id="74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4"/>
    </w:p>
    <w:bookmarkEnd w:id="70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16" Target="media/document_image_rId16.png" Type="http://schemas.openxmlformats.org/officeDocument/2006/relationships/image"/><Relationship Id="rId17" Target="media/document_image_rId17.png" Type="http://schemas.openxmlformats.org/officeDocument/2006/relationships/image"/><Relationship Id="rId18" Target="media/document_image_rId18.png" Type="http://schemas.openxmlformats.org/officeDocument/2006/relationships/image"/><Relationship Id="rId19" Target="media/document_image_rId19.png" Type="http://schemas.openxmlformats.org/officeDocument/2006/relationships/image"/><Relationship Id="rId2" Target="settings.xml" Type="http://schemas.openxmlformats.org/officeDocument/2006/relationships/settings"/><Relationship Id="rId20" Target="media/document_image_rId20.png" Type="http://schemas.openxmlformats.org/officeDocument/2006/relationships/image"/><Relationship Id="rId21" Target="media/document_image_rId21.png" Type="http://schemas.openxmlformats.org/officeDocument/2006/relationships/image"/><Relationship Id="rId22" Target="media/document_image_rId22.png" Type="http://schemas.openxmlformats.org/officeDocument/2006/relationships/image"/><Relationship Id="rId23" Target="media/document_image_rId23.png" Type="http://schemas.openxmlformats.org/officeDocument/2006/relationships/image"/><Relationship Id="rId24" Target="media/document_image_rId24.png" Type="http://schemas.openxmlformats.org/officeDocument/2006/relationships/image"/><Relationship Id="rId25" Target="media/document_image_rId25.png" Type="http://schemas.openxmlformats.org/officeDocument/2006/relationships/image"/><Relationship Id="rId26" Target="media/document_image_rId26.png" Type="http://schemas.openxmlformats.org/officeDocument/2006/relationships/image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