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0.png"/>
  <Override ContentType="image/png" PartName="/word/media/document_image_rId21.png"/>
  <Override ContentType="image/png" PartName="/word/media/document_image_rId22.png"/>
  <Override ContentType="image/png" PartName="/word/media/document_image_rId23.png"/>
  <Override ContentType="image/png" PartName="/word/media/document_image_rId24.png"/>
  <Override ContentType="image/png" PartName="/word/media/document_image_rId25.png"/>
  <Override ContentType="image/png" PartName="/word/media/document_image_rId26.png"/>
  <Override ContentType="image/png" PartName="/word/media/document_image_rId27.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【轨物方案】从计划检修走向状态检修：基于机械特性在线监测的开关柜健康评估专家系统</w:t>
      </w:r>
    </w:p>
    <w:bookmarkEnd w:id="0"/>
    <w:bookmarkStart w:name="VyvFm" w:id="1"/>
    <w:p>
      <w:pPr>
        <w:pStyle w:val="Heading1"/>
        <w:spacing w:after="50" w:line="360" w:lineRule="auto" w:beforeLines="100"/>
        <w:ind w:left="0"/>
        <w:jc w:val="left"/>
      </w:pPr>
      <w:bookmarkStart w:name="QsLME" w:id="2"/>
      <w:r>
        <w:rPr>
          <w:rFonts w:eastAsia="宋体" w:ascii="宋体"/>
        </w:rPr>
        <w:drawing>
          <wp:inline distT="0" distB="0" distL="0" distR="0">
            <wp:extent cx="5842000" cy="37972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87466" cy="1461655"/>
                    </a:xfrm>
                    <a:prstGeom prst="rect">
                      <a:avLst/>
                    </a:prstGeom>
                  </pic:spPr>
                </pic:pic>
              </a:graphicData>
            </a:graphic>
          </wp:inline>
        </w:drawing>
      </w:r>
      <w:bookmarkEnd w:id="2"/>
    </w:p>
    <w:bookmarkEnd w:id="1"/>
    <w:bookmarkStart w:name="ua3536de1" w:id="3"/>
    <w:p>
      <w:pPr>
        <w:spacing w:after="50" w:line="360" w:lineRule="auto" w:beforeLines="100"/>
        <w:ind w:left="0"/>
        <w:jc w:val="left"/>
      </w:pPr>
      <w:bookmarkStart w:name="ub205e34e" w:id="4"/>
      <w:r>
        <w:rPr>
          <w:rFonts w:eastAsia="宋体" w:ascii="宋体"/>
        </w:rPr>
        <w:drawing>
          <wp:inline distT="0" distB="0" distL="0" distR="0">
            <wp:extent cx="5842000" cy="130860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526000" cy="3925824"/>
                    </a:xfrm>
                    <a:prstGeom prst="rect">
                      <a:avLst/>
                    </a:prstGeom>
                  </pic:spPr>
                </pic:pic>
              </a:graphicData>
            </a:graphic>
          </wp:inline>
        </w:drawing>
      </w:r>
      <w:bookmarkEnd w:id="4"/>
    </w:p>
    <w:bookmarkEnd w:id="3"/>
    <w:bookmarkStart w:name="b83f0ef63000290ea2bfffe16fd7cdf7" w:id="5"/>
    <w:p>
      <w:pPr>
        <w:spacing w:after="50" w:line="360" w:lineRule="auto" w:beforeLines="100"/>
        <w:ind w:left="0"/>
        <w:jc w:val="left"/>
      </w:pPr>
      <w:r>
        <w:rPr>
          <w:rFonts w:ascii="宋体" w:hAnsi="Times New Roman" w:eastAsia="宋体"/>
          <w:b w:val="false"/>
          <w:i w:val="false"/>
          <w:color w:val="000000"/>
          <w:sz w:val="22"/>
        </w:rPr>
        <w:t>在数字化变电站建设的下半场，电力运维正经历从“盲目维护”向“</w:t>
      </w:r>
      <w:r>
        <w:rPr>
          <w:rFonts w:ascii="宋体" w:hAnsi="Times New Roman" w:eastAsia="宋体"/>
          <w:b/>
          <w:i w:val="false"/>
          <w:color w:val="004347"/>
          <w:sz w:val="22"/>
        </w:rPr>
        <w:t>精准诊断</w:t>
      </w:r>
      <w:r>
        <w:rPr>
          <w:rFonts w:ascii="宋体" w:hAnsi="Times New Roman" w:eastAsia="宋体"/>
          <w:b w:val="false"/>
          <w:i w:val="false"/>
          <w:color w:val="000000"/>
          <w:sz w:val="22"/>
        </w:rPr>
        <w:t>”的范式演进。传统的“计划检修”模式依赖固定的停电周期，不仅造成了严重的过度维修或失修风险，更在现代电网日益严苛的“人站比”压力下显得捉襟见肘。</w:t>
      </w:r>
    </w:p>
    <w:bookmarkEnd w:id="5"/>
    <w:bookmarkStart w:name="75e7f59380d737ade1cfd75c2f2356c4" w:id="6"/>
    <w:p>
      <w:pPr>
        <w:spacing w:after="50" w:line="360" w:lineRule="auto" w:beforeLines="100"/>
        <w:ind w:left="0"/>
        <w:jc w:val="left"/>
      </w:pPr>
      <w:r>
        <w:rPr>
          <w:rFonts w:ascii="宋体" w:hAnsi="Times New Roman" w:eastAsia="宋体"/>
          <w:b w:val="false"/>
          <w:i w:val="false"/>
          <w:color w:val="000000"/>
          <w:sz w:val="22"/>
        </w:rPr>
        <w:t>随着国家电网与南方电网明确将“一键顺控”作为智能变电站的标配方向，行业共识已然达成：运维的终极目标是实现从“程序化执行”向“态势感知”的跃迁。通过“状态全感知”获取海量底层物理数据，利用“智能决策”替代人工跑腿，是实现</w:t>
      </w:r>
      <w:r>
        <w:rPr>
          <w:rFonts w:ascii="宋体" w:hAnsi="Times New Roman" w:eastAsia="宋体"/>
          <w:b/>
          <w:i w:val="false"/>
          <w:color w:val="004347"/>
          <w:sz w:val="22"/>
        </w:rPr>
        <w:t>变电站无人值守</w:t>
      </w:r>
      <w:r>
        <w:rPr>
          <w:rFonts w:ascii="宋体" w:hAnsi="Times New Roman" w:eastAsia="宋体"/>
          <w:b w:val="false"/>
          <w:i w:val="false"/>
          <w:color w:val="000000"/>
          <w:sz w:val="22"/>
        </w:rPr>
        <w:t>、</w:t>
      </w:r>
      <w:r>
        <w:rPr>
          <w:rFonts w:ascii="宋体" w:hAnsi="Times New Roman" w:eastAsia="宋体"/>
          <w:b/>
          <w:i w:val="false"/>
          <w:color w:val="004347"/>
          <w:sz w:val="22"/>
        </w:rPr>
        <w:t>远方运维</w:t>
      </w:r>
      <w:r>
        <w:rPr>
          <w:rFonts w:ascii="宋体" w:hAnsi="Times New Roman" w:eastAsia="宋体"/>
          <w:b w:val="false"/>
          <w:i w:val="false"/>
          <w:color w:val="000000"/>
          <w:sz w:val="22"/>
        </w:rPr>
        <w:t>的核心技术支撑。</w:t>
      </w:r>
    </w:p>
    <w:bookmarkEnd w:id="6"/>
    <w:bookmarkStart w:name="u78af1d39" w:id="7"/>
    <w:p>
      <w:pPr>
        <w:spacing w:after="50" w:line="360" w:lineRule="auto" w:beforeLines="100"/>
        <w:ind w:left="0"/>
        <w:jc w:val="left"/>
      </w:pPr>
      <w:bookmarkStart w:name="u0559d11f" w:id="8"/>
      <w:r>
        <w:rPr>
          <w:rFonts w:eastAsia="宋体" w:ascii="宋体"/>
        </w:rPr>
        <w:drawing>
          <wp:inline distT="0" distB="0" distL="0" distR="0">
            <wp:extent cx="5842000" cy="325982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653200" cy="24916374"/>
                    </a:xfrm>
                    <a:prstGeom prst="rect">
                      <a:avLst/>
                    </a:prstGeom>
                  </pic:spPr>
                </pic:pic>
              </a:graphicData>
            </a:graphic>
          </wp:inline>
        </w:drawing>
      </w:r>
      <w:bookmarkEnd w:id="8"/>
    </w:p>
    <w:bookmarkEnd w:id="7"/>
    <w:bookmarkStart w:name="ub0abc24b" w:id="9"/>
    <w:p>
      <w:pPr>
        <w:spacing w:after="50" w:line="360" w:lineRule="auto" w:beforeLines="100"/>
        <w:ind w:left="0"/>
        <w:jc w:val="left"/>
      </w:pPr>
      <w:bookmarkStart w:name="ud3480768" w:id="10"/>
      <w:r>
        <w:rPr>
          <w:rFonts w:eastAsia="宋体" w:ascii="宋体"/>
        </w:rPr>
        <w:drawing>
          <wp:inline distT="0" distB="0" distL="0" distR="0">
            <wp:extent cx="5842000" cy="1308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542933" cy="3929408"/>
                    </a:xfrm>
                    <a:prstGeom prst="rect">
                      <a:avLst/>
                    </a:prstGeom>
                  </pic:spPr>
                </pic:pic>
              </a:graphicData>
            </a:graphic>
          </wp:inline>
        </w:drawing>
      </w:r>
      <w:bookmarkEnd w:id="10"/>
    </w:p>
    <w:bookmarkEnd w:id="9"/>
    <w:bookmarkStart w:name="5cc4b3f1f42a35a07150e6f0b4ed51eb" w:id="11"/>
    <w:p>
      <w:pPr>
        <w:spacing w:after="50" w:line="360" w:lineRule="auto" w:beforeLines="100"/>
        <w:ind w:left="0"/>
        <w:jc w:val="left"/>
      </w:pPr>
      <w:r>
        <w:rPr>
          <w:rFonts w:ascii="宋体" w:hAnsi="Times New Roman" w:eastAsia="宋体"/>
          <w:b w:val="false"/>
          <w:i w:val="false"/>
          <w:color w:val="000000"/>
          <w:sz w:val="22"/>
        </w:rPr>
        <w:t>轨物科技（Thingcom）针对中高压开关柜打造的智能化方案，并非简单的传感器堆砌，而是一套深度的物理信号解耦与数字化映射系统。该架构严格遵循电力工控标准，具备高可靠性与工业级防护性能（IP54等级）。</w:t>
      </w:r>
    </w:p>
    <w:bookmarkEnd w:id="11"/>
    <w:bookmarkStart w:name="114a672ef4e7f67fdfc2d4038ddd1bba" w:id="12"/>
    <w:p>
      <w:pPr>
        <w:spacing w:after="50" w:line="360" w:lineRule="auto" w:beforeLines="100"/>
        <w:ind w:left="0"/>
        <w:jc w:val="left"/>
      </w:pPr>
      <w:r>
        <w:rPr>
          <w:rFonts w:ascii="宋体" w:hAnsi="Times New Roman" w:eastAsia="宋体"/>
          <w:b/>
          <w:i w:val="false"/>
          <w:color w:val="004347"/>
          <w:sz w:val="22"/>
        </w:rPr>
        <w:t>核心硬件组件清单：</w:t>
      </w:r>
    </w:p>
    <w:bookmarkEnd w:id="12"/>
    <w:bookmarkStart w:name="b2b66ffe50b9e1a6c02d3b7498c62800" w:id="13"/>
    <w:p>
      <w:pPr>
        <w:numPr>
          <w:ilvl w:val="0"/>
          <w:numId w:val="1"/>
        </w:numPr>
        <w:spacing w:after="50" w:line="360" w:lineRule="auto" w:beforeLines="100"/>
        <w:ind w:left="360"/>
        <w:jc w:val="left"/>
      </w:pPr>
      <w:r>
        <w:rPr>
          <w:rFonts w:ascii="宋体" w:hAnsi="Times New Roman" w:eastAsia="宋体"/>
          <w:b/>
          <w:i w:val="false"/>
          <w:color w:val="004347"/>
          <w:sz w:val="22"/>
        </w:rPr>
        <w:t>智能开关柜测控终端（SR-IED/kgg-01）：</w:t>
      </w:r>
      <w:r>
        <w:rPr>
          <w:rFonts w:ascii="宋体" w:hAnsi="Times New Roman" w:eastAsia="宋体"/>
          <w:b w:val="false"/>
          <w:i w:val="false"/>
          <w:color w:val="000000"/>
          <w:sz w:val="22"/>
        </w:rPr>
        <w:t xml:space="preserve"> 系统大脑，支持EC104及61850通讯协议（可选），负责多源数据汇聚与协议转换。</w:t>
      </w:r>
    </w:p>
    <w:bookmarkEnd w:id="13"/>
    <w:bookmarkStart w:name="7ddf8112e304cebe95ad9dc83dccc9d5" w:id="14"/>
    <w:p>
      <w:pPr>
        <w:numPr>
          <w:ilvl w:val="0"/>
          <w:numId w:val="1"/>
        </w:numPr>
        <w:spacing w:after="50" w:line="360" w:lineRule="auto" w:beforeLines="100"/>
        <w:ind w:left="360"/>
        <w:jc w:val="left"/>
      </w:pPr>
      <w:r>
        <w:rPr>
          <w:rFonts w:ascii="宋体" w:hAnsi="Times New Roman" w:eastAsia="宋体"/>
          <w:b/>
          <w:i w:val="false"/>
          <w:color w:val="004347"/>
          <w:sz w:val="22"/>
        </w:rPr>
        <w:t>一键顺控装置（Kgg-02）：</w:t>
      </w:r>
      <w:r>
        <w:rPr>
          <w:rFonts w:ascii="宋体" w:hAnsi="Times New Roman" w:eastAsia="宋体"/>
          <w:b w:val="false"/>
          <w:i w:val="false"/>
          <w:color w:val="000000"/>
          <w:sz w:val="22"/>
        </w:rPr>
        <w:t xml:space="preserve"> 动力执行核心，支持三工位（断路器、手车、接地刀）的逻辑控制与电流高频监测。</w:t>
      </w:r>
    </w:p>
    <w:bookmarkEnd w:id="14"/>
    <w:bookmarkStart w:name="4b435b1e9ad5f18ea75010b2ed126043" w:id="15"/>
    <w:p>
      <w:pPr>
        <w:numPr>
          <w:ilvl w:val="0"/>
          <w:numId w:val="1"/>
        </w:numPr>
        <w:spacing w:after="50" w:line="360" w:lineRule="auto" w:beforeLines="100"/>
        <w:ind w:left="360"/>
        <w:jc w:val="left"/>
      </w:pPr>
      <w:r>
        <w:rPr>
          <w:rFonts w:ascii="宋体" w:hAnsi="Times New Roman" w:eastAsia="宋体"/>
          <w:b/>
          <w:i w:val="false"/>
          <w:color w:val="004347"/>
          <w:sz w:val="22"/>
        </w:rPr>
        <w:t>机械特性监测单元（SR-MECH/Kgg-03）：</w:t>
      </w:r>
      <w:r>
        <w:rPr>
          <w:rFonts w:ascii="宋体" w:hAnsi="Times New Roman" w:eastAsia="宋体"/>
          <w:b w:val="false"/>
          <w:i w:val="false"/>
          <w:color w:val="000000"/>
          <w:sz w:val="22"/>
        </w:rPr>
        <w:t xml:space="preserve"> 核心传感模块，</w:t>
      </w:r>
      <w:r>
        <w:rPr>
          <w:rFonts w:ascii="宋体" w:hAnsi="Times New Roman" w:eastAsia="宋体"/>
          <w:b/>
          <w:i w:val="false"/>
          <w:color w:val="004347"/>
          <w:sz w:val="22"/>
        </w:rPr>
        <w:t>内置3个霍尔电流传感器和1个角位移/角度传感器</w:t>
      </w:r>
      <w:r>
        <w:rPr>
          <w:rFonts w:ascii="宋体" w:hAnsi="Times New Roman" w:eastAsia="宋体"/>
          <w:b w:val="false"/>
          <w:i w:val="false"/>
          <w:color w:val="000000"/>
          <w:sz w:val="22"/>
        </w:rPr>
        <w:t>，实现对动作全过程的毫秒级捕捉。</w:t>
      </w:r>
    </w:p>
    <w:bookmarkEnd w:id="15"/>
    <w:bookmarkStart w:name="43d77c9185636cc72390acbd5423e3b6" w:id="16"/>
    <w:p>
      <w:pPr>
        <w:numPr>
          <w:ilvl w:val="0"/>
          <w:numId w:val="1"/>
        </w:numPr>
        <w:spacing w:after="50" w:line="360" w:lineRule="auto" w:beforeLines="100"/>
        <w:ind w:left="360"/>
        <w:jc w:val="left"/>
      </w:pPr>
      <w:r>
        <w:rPr>
          <w:rFonts w:ascii="宋体" w:hAnsi="Times New Roman" w:eastAsia="宋体"/>
          <w:b/>
          <w:i w:val="false"/>
          <w:color w:val="004347"/>
          <w:sz w:val="22"/>
        </w:rPr>
        <w:t>AI视频识别装置（SR-2010S/Kgg-05）：</w:t>
      </w:r>
      <w:r>
        <w:rPr>
          <w:rFonts w:ascii="宋体" w:hAnsi="Times New Roman" w:eastAsia="宋体"/>
          <w:b w:val="false"/>
          <w:i w:val="false"/>
          <w:color w:val="000000"/>
          <w:sz w:val="22"/>
        </w:rPr>
        <w:t xml:space="preserve"> 具备夜视功能，通过视觉感知层为状态识别提供非电量冗余校验。</w:t>
      </w:r>
    </w:p>
    <w:bookmarkEnd w:id="16"/>
    <w:bookmarkStart w:name="949053182b7a6a5f611800ac28413dcf" w:id="17"/>
    <w:p>
      <w:pPr>
        <w:numPr>
          <w:ilvl w:val="0"/>
          <w:numId w:val="1"/>
        </w:numPr>
        <w:spacing w:after="50" w:line="360" w:lineRule="auto" w:beforeLines="100"/>
        <w:ind w:left="360"/>
        <w:jc w:val="left"/>
      </w:pPr>
      <w:r>
        <w:rPr>
          <w:rFonts w:ascii="宋体" w:hAnsi="Times New Roman" w:eastAsia="宋体"/>
          <w:b/>
          <w:i w:val="false"/>
          <w:color w:val="004347"/>
          <w:sz w:val="22"/>
        </w:rPr>
        <w:t>交互终端（SR-HMI 10/Kgg-06）：</w:t>
      </w:r>
      <w:r>
        <w:rPr>
          <w:rFonts w:ascii="宋体" w:hAnsi="Times New Roman" w:eastAsia="宋体"/>
          <w:b w:val="false"/>
          <w:i w:val="false"/>
          <w:color w:val="000000"/>
          <w:sz w:val="22"/>
        </w:rPr>
        <w:t xml:space="preserve"> 10寸彩色触摸屏，提供本地实时监测与“一键顺控”交互界面。</w:t>
      </w:r>
    </w:p>
    <w:bookmarkEnd w:id="17"/>
    <w:bookmarkStart w:name="u48933093" w:id="18"/>
    <w:p>
      <w:pPr>
        <w:spacing w:after="50" w:line="360" w:lineRule="auto" w:beforeLines="100"/>
        <w:ind w:left="0"/>
        <w:jc w:val="left"/>
      </w:pPr>
      <w:bookmarkStart w:name="u3885420f" w:id="19"/>
      <w:r>
        <w:rPr>
          <w:rFonts w:eastAsia="宋体" w:ascii="宋体"/>
        </w:rPr>
        <w:drawing>
          <wp:inline distT="0" distB="0" distL="0" distR="0">
            <wp:extent cx="5842000" cy="325982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670132" cy="24925860"/>
                    </a:xfrm>
                    <a:prstGeom prst="rect">
                      <a:avLst/>
                    </a:prstGeom>
                  </pic:spPr>
                </pic:pic>
              </a:graphicData>
            </a:graphic>
          </wp:inline>
        </w:drawing>
      </w:r>
      <w:bookmarkEnd w:id="19"/>
    </w:p>
    <w:bookmarkEnd w:id="18"/>
    <w:bookmarkStart w:name="d17ae45b87428b13768318ed0f50c053" w:id="20"/>
    <w:p>
      <w:pPr>
        <w:spacing w:after="50" w:line="360" w:lineRule="auto" w:beforeLines="100"/>
        <w:ind w:left="0"/>
        <w:jc w:val="left"/>
      </w:pPr>
      <w:r>
        <w:rPr>
          <w:rFonts w:ascii="宋体" w:hAnsi="Times New Roman" w:eastAsia="宋体"/>
          <w:b/>
          <w:i w:val="false"/>
          <w:color w:val="004347"/>
          <w:sz w:val="22"/>
        </w:rPr>
        <w:t>系统逻辑层次：</w:t>
      </w:r>
      <w:r>
        <w:rPr>
          <w:rFonts w:ascii="宋体" w:hAnsi="Times New Roman" w:eastAsia="宋体"/>
          <w:b w:val="false"/>
          <w:i w:val="false"/>
          <w:color w:val="000000"/>
          <w:sz w:val="22"/>
        </w:rPr>
        <w:t xml:space="preserve"> 底层传感器通过RS485/自定义协议将物理信号传送至边缘网关 -&gt; 边缘网关进行波形分析与本地数据脱敏 -&gt; 本地HMI实现毫秒级响应操作 -&gt; 经由以太网/4G传输至站控层数据库或云平台进行长趋势寿命分析。</w:t>
      </w:r>
    </w:p>
    <w:bookmarkEnd w:id="20"/>
    <w:bookmarkStart w:name="ucb948418" w:id="21"/>
    <w:p>
      <w:pPr>
        <w:spacing w:after="50" w:line="360" w:lineRule="auto" w:beforeLines="100"/>
        <w:ind w:left="0"/>
        <w:jc w:val="left"/>
      </w:pPr>
      <w:bookmarkStart w:name="YfMPC" w:id="22"/>
      <w:r>
        <w:rPr>
          <w:rFonts w:eastAsia="宋体" w:ascii="宋体"/>
        </w:rPr>
        <w:drawing>
          <wp:inline distT="0" distB="0" distL="0" distR="0">
            <wp:extent cx="5841999" cy="137280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559867" cy="4126365"/>
                    </a:xfrm>
                    <a:prstGeom prst="rect">
                      <a:avLst/>
                    </a:prstGeom>
                  </pic:spPr>
                </pic:pic>
              </a:graphicData>
            </a:graphic>
          </wp:inline>
        </w:drawing>
      </w:r>
      <w:bookmarkEnd w:id="22"/>
    </w:p>
    <w:bookmarkEnd w:id="21"/>
    <w:bookmarkStart w:name="b737e94e18f7fec4751ae93b3e73a536" w:id="23"/>
    <w:p>
      <w:pPr>
        <w:spacing w:after="50" w:line="360" w:lineRule="auto" w:beforeLines="100"/>
        <w:ind w:left="0"/>
        <w:jc w:val="left"/>
      </w:pPr>
      <w:r>
        <w:rPr>
          <w:rFonts w:ascii="宋体" w:hAnsi="Times New Roman" w:eastAsia="宋体"/>
          <w:b w:val="false"/>
          <w:i w:val="false"/>
          <w:color w:val="000000"/>
          <w:sz w:val="22"/>
        </w:rPr>
        <w:t>一键顺控的核心价值在于将复杂的倒闸操作业务逻辑固化为计算机程序。系统通过“任务模块化、状态自动判别、防误联锁校核”，彻底终结了传统操作中“</w:t>
      </w:r>
      <w:r>
        <w:rPr>
          <w:rFonts w:ascii="宋体" w:hAnsi="Times New Roman" w:eastAsia="宋体"/>
          <w:b/>
          <w:i w:val="false"/>
          <w:color w:val="004347"/>
          <w:sz w:val="22"/>
        </w:rPr>
        <w:t>唱票-复诵-现场检查</w:t>
      </w:r>
      <w:r>
        <w:rPr>
          <w:rFonts w:ascii="宋体" w:hAnsi="Times New Roman" w:eastAsia="宋体"/>
          <w:b w:val="false"/>
          <w:i w:val="false"/>
          <w:color w:val="000000"/>
          <w:sz w:val="22"/>
        </w:rPr>
        <w:t>”的低效链条。</w:t>
      </w:r>
    </w:p>
    <w:bookmarkEnd w:id="23"/>
    <w:bookmarkStart w:name="7d1e43c488b17b115fb87f940439abed" w:id="24"/>
    <w:p>
      <w:pPr>
        <w:spacing w:after="50" w:line="360" w:lineRule="auto" w:beforeLines="100"/>
        <w:ind w:left="0"/>
        <w:jc w:val="center"/>
      </w:pPr>
      <w:bookmarkStart w:name="u1e69561f" w:id="25"/>
      <w:r>
        <w:rPr>
          <w:rFonts w:eastAsia="宋体" w:ascii="宋体"/>
        </w:rPr>
        <w:drawing>
          <wp:inline distT="0" distB="0" distL="0" distR="0">
            <wp:extent cx="5723466" cy="197011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23466" cy="1970111"/>
                    </a:xfrm>
                    <a:prstGeom prst="rect">
                      <a:avLst/>
                    </a:prstGeom>
                  </pic:spPr>
                </pic:pic>
              </a:graphicData>
            </a:graphic>
          </wp:inline>
        </w:drawing>
      </w:r>
      <w:bookmarkEnd w:id="25"/>
    </w:p>
    <w:bookmarkEnd w:id="24"/>
    <w:bookmarkStart w:name="u13fa0a1e" w:id="26"/>
    <w:bookmarkEnd w:id="26"/>
    <w:bookmarkStart w:name="a1bd968d4c3512f335f6a2e57f69de5f" w:id="27"/>
    <w:p>
      <w:pPr>
        <w:spacing w:after="50" w:line="360" w:lineRule="auto" w:beforeLines="100"/>
        <w:ind w:left="0"/>
        <w:jc w:val="left"/>
      </w:pPr>
      <w:r>
        <w:rPr>
          <w:rFonts w:ascii="宋体" w:hAnsi="Times New Roman" w:eastAsia="宋体"/>
          <w:b/>
          <w:i w:val="false"/>
          <w:color w:val="004347"/>
          <w:sz w:val="22"/>
        </w:rPr>
        <w:t>流程深度解析：</w:t>
      </w:r>
      <w:r>
        <w:rPr>
          <w:rFonts w:ascii="宋体" w:hAnsi="Times New Roman" w:eastAsia="宋体"/>
          <w:b w:val="false"/>
          <w:i w:val="false"/>
          <w:color w:val="000000"/>
          <w:sz w:val="22"/>
        </w:rPr>
        <w:t xml:space="preserve"> 以“转运行操作”为例，系统接收指令后，启动</w:t>
      </w:r>
      <w:r>
        <w:rPr>
          <w:rFonts w:ascii="宋体" w:hAnsi="Times New Roman" w:eastAsia="宋体"/>
          <w:b/>
          <w:i w:val="false"/>
          <w:color w:val="004347"/>
          <w:sz w:val="22"/>
        </w:rPr>
        <w:t>5秒状态充电时间（Tcd）确认</w:t>
      </w:r>
      <w:r>
        <w:rPr>
          <w:rFonts w:ascii="宋体" w:hAnsi="Times New Roman" w:eastAsia="宋体"/>
          <w:b w:val="false"/>
          <w:i w:val="false"/>
          <w:color w:val="000000"/>
          <w:sz w:val="22"/>
        </w:rPr>
        <w:t>当前态，随后按照“自动拉开接地刀 -&gt; 自动摇进底盘车至工作位置 -&gt; 自动合闸”的顺序闭环执行。</w:t>
      </w:r>
    </w:p>
    <w:bookmarkEnd w:id="27"/>
    <w:bookmarkStart w:name="54dcb4a97796b24ad73d3328fcd8173c" w:id="28"/>
    <w:p>
      <w:pPr>
        <w:spacing w:after="50" w:line="360" w:lineRule="auto" w:beforeLines="100"/>
        <w:ind w:left="0"/>
        <w:jc w:val="left"/>
      </w:pPr>
      <w:r>
        <w:rPr>
          <w:rFonts w:ascii="宋体" w:hAnsi="Times New Roman" w:eastAsia="宋体"/>
          <w:b/>
          <w:i w:val="false"/>
          <w:color w:val="004347"/>
          <w:sz w:val="22"/>
        </w:rPr>
        <w:t>量化价值：</w:t>
      </w:r>
      <w:r>
        <w:rPr>
          <w:rFonts w:ascii="宋体" w:hAnsi="Times New Roman" w:eastAsia="宋体"/>
          <w:b w:val="false"/>
          <w:i w:val="false"/>
          <w:color w:val="000000"/>
          <w:sz w:val="22"/>
        </w:rPr>
        <w:t xml:space="preserve"> 通过这种算法化运维，典型操作时间从原本的“数小时”量级压缩至“分钟级”，</w:t>
      </w:r>
      <w:r>
        <w:rPr>
          <w:rFonts w:ascii="宋体" w:hAnsi="Times New Roman" w:eastAsia="宋体"/>
          <w:b/>
          <w:i w:val="false"/>
          <w:color w:val="004347"/>
          <w:sz w:val="22"/>
        </w:rPr>
        <w:t>效率提升约30%-70%</w:t>
      </w:r>
      <w:r>
        <w:rPr>
          <w:rFonts w:ascii="宋体" w:hAnsi="Times New Roman" w:eastAsia="宋体"/>
          <w:b w:val="false"/>
          <w:i w:val="false"/>
          <w:color w:val="000000"/>
          <w:sz w:val="22"/>
        </w:rPr>
        <w:t>，启动耗时大幅缩短，真正适配了集中监控与少人值守的现代管理需求。</w:t>
      </w:r>
    </w:p>
    <w:bookmarkEnd w:id="28"/>
    <w:bookmarkStart w:name="ufdcfbcb6" w:id="29"/>
    <w:p>
      <w:pPr>
        <w:spacing w:after="50" w:line="360" w:lineRule="auto" w:beforeLines="100"/>
        <w:ind w:left="0"/>
        <w:jc w:val="left"/>
      </w:pPr>
      <w:bookmarkStart w:name="DfTNC" w:id="30"/>
      <w:r>
        <w:rPr>
          <w:rFonts w:eastAsia="宋体" w:ascii="宋体"/>
        </w:rPr>
        <w:drawing>
          <wp:inline distT="0" distB="0" distL="0" distR="0">
            <wp:extent cx="5842000" cy="134358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542933" cy="4034660"/>
                    </a:xfrm>
                    <a:prstGeom prst="rect">
                      <a:avLst/>
                    </a:prstGeom>
                  </pic:spPr>
                </pic:pic>
              </a:graphicData>
            </a:graphic>
          </wp:inline>
        </w:drawing>
      </w:r>
      <w:bookmarkEnd w:id="30"/>
    </w:p>
    <w:bookmarkEnd w:id="29"/>
    <w:bookmarkStart w:name="d699d0d0978b6ca5b1349352fd55735c" w:id="31"/>
    <w:p>
      <w:pPr>
        <w:spacing w:after="50" w:line="360" w:lineRule="auto" w:beforeLines="100"/>
        <w:ind w:left="0"/>
        <w:jc w:val="left"/>
      </w:pPr>
      <w:r>
        <w:rPr>
          <w:rFonts w:ascii="宋体" w:hAnsi="Times New Roman" w:eastAsia="宋体"/>
          <w:b w:val="false"/>
          <w:i w:val="false"/>
          <w:color w:val="000000"/>
          <w:sz w:val="22"/>
        </w:rPr>
        <w:t>机械特性在线监测是健康评估专家系统的“灵魂”。它不再局限于传统的辅助开关状态，而是通过对机构动作全过程的“波形 wavefront”采集，让设备学会“开口说话”。</w:t>
      </w:r>
    </w:p>
    <w:bookmarkEnd w:id="31"/>
    <w:bookmarkStart w:name="1c6c28e6a1baaf1c2d801ea73166c94d" w:id="32"/>
    <w:p>
      <w:pPr>
        <w:numPr>
          <w:ilvl w:val="0"/>
          <w:numId w:val="2"/>
        </w:numPr>
        <w:spacing w:after="50" w:line="360" w:lineRule="auto" w:beforeLines="100"/>
        <w:ind w:left="360"/>
        <w:jc w:val="left"/>
      </w:pPr>
      <w:r>
        <w:rPr>
          <w:rFonts w:ascii="宋体" w:hAnsi="Times New Roman" w:eastAsia="宋体"/>
          <w:b/>
          <w:i w:val="false"/>
          <w:color w:val="004347"/>
          <w:sz w:val="22"/>
        </w:rPr>
        <w:t>指标高精度采样：</w:t>
      </w:r>
      <w:r>
        <w:rPr>
          <w:rFonts w:ascii="宋体" w:hAnsi="Times New Roman" w:eastAsia="宋体"/>
          <w:b w:val="false"/>
          <w:i w:val="false"/>
          <w:color w:val="000000"/>
          <w:sz w:val="22"/>
        </w:rPr>
        <w:t xml:space="preserve"> 系统实时捕捉分合闸</w:t>
      </w:r>
      <w:r>
        <w:rPr>
          <w:rFonts w:ascii="宋体" w:hAnsi="Times New Roman" w:eastAsia="宋体"/>
          <w:b/>
          <w:i w:val="false"/>
          <w:color w:val="004347"/>
          <w:sz w:val="22"/>
        </w:rPr>
        <w:t>31.8ms</w:t>
      </w:r>
      <w:r>
        <w:rPr>
          <w:rFonts w:ascii="宋体" w:hAnsi="Times New Roman" w:eastAsia="宋体"/>
          <w:b w:val="false"/>
          <w:i w:val="false"/>
          <w:color w:val="000000"/>
          <w:sz w:val="22"/>
        </w:rPr>
        <w:t>的时间定值、</w:t>
      </w:r>
      <w:r>
        <w:rPr>
          <w:rFonts w:ascii="宋体" w:hAnsi="Times New Roman" w:eastAsia="宋体"/>
          <w:b/>
          <w:i w:val="false"/>
          <w:color w:val="004347"/>
          <w:sz w:val="22"/>
        </w:rPr>
        <w:t>0.66m/s</w:t>
      </w:r>
      <w:r>
        <w:rPr>
          <w:rFonts w:ascii="宋体" w:hAnsi="Times New Roman" w:eastAsia="宋体"/>
          <w:b w:val="false"/>
          <w:i w:val="false"/>
          <w:color w:val="000000"/>
          <w:sz w:val="22"/>
        </w:rPr>
        <w:t>的分闸速度曲线。通过高频采样行程曲线、开距、超程、反弹等物理变量，精准勾画出机械动作的“指纹”。</w:t>
      </w:r>
    </w:p>
    <w:bookmarkEnd w:id="32"/>
    <w:bookmarkStart w:name="8eadd0efacb673c9085aa8dbc2e01f5f" w:id="33"/>
    <w:p>
      <w:pPr>
        <w:numPr>
          <w:ilvl w:val="0"/>
          <w:numId w:val="2"/>
        </w:numPr>
        <w:spacing w:after="50" w:line="360" w:lineRule="auto" w:beforeLines="100"/>
        <w:ind w:left="360"/>
        <w:jc w:val="left"/>
      </w:pPr>
      <w:r>
        <w:rPr>
          <w:rFonts w:ascii="宋体" w:hAnsi="Times New Roman" w:eastAsia="宋体"/>
          <w:b/>
          <w:i w:val="false"/>
          <w:color w:val="004347"/>
          <w:sz w:val="22"/>
        </w:rPr>
        <w:t>双辅助判据逻辑：</w:t>
      </w:r>
      <w:r>
        <w:rPr>
          <w:rFonts w:ascii="宋体" w:hAnsi="Times New Roman" w:eastAsia="宋体"/>
          <w:b w:val="false"/>
          <w:i w:val="false"/>
          <w:color w:val="000000"/>
          <w:sz w:val="22"/>
        </w:rPr>
        <w:t xml:space="preserve"> 严格遵循“五防”闭锁要求。操作成功不仅依赖机械位置信号，还需通过AI视频识别进行二次图像比对确认。一旦视频判据与电气判据不一致，系统立即锁死程序，确保操作绝对安全。</w:t>
      </w:r>
    </w:p>
    <w:bookmarkEnd w:id="33"/>
    <w:bookmarkStart w:name="u833c5123" w:id="34"/>
    <w:p>
      <w:pPr>
        <w:spacing w:after="50" w:line="360" w:lineRule="auto" w:beforeLines="100"/>
        <w:ind w:left="0"/>
        <w:jc w:val="left"/>
      </w:pPr>
      <w:bookmarkStart w:name="uc01b17c1" w:id="35"/>
      <w:r>
        <w:rPr>
          <w:rFonts w:eastAsia="宋体" w:ascii="宋体"/>
        </w:rPr>
        <w:drawing>
          <wp:inline distT="0" distB="0" distL="0" distR="0">
            <wp:extent cx="5842000" cy="325982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653200" cy="24916374"/>
                    </a:xfrm>
                    <a:prstGeom prst="rect">
                      <a:avLst/>
                    </a:prstGeom>
                  </pic:spPr>
                </pic:pic>
              </a:graphicData>
            </a:graphic>
          </wp:inline>
        </w:drawing>
      </w:r>
      <w:bookmarkEnd w:id="35"/>
    </w:p>
    <w:bookmarkEnd w:id="34"/>
    <w:bookmarkStart w:name="78a70a14142642b4c618d834433283e1" w:id="36"/>
    <w:p>
      <w:pPr>
        <w:numPr>
          <w:ilvl w:val="0"/>
          <w:numId w:val="3"/>
        </w:numPr>
        <w:spacing w:after="50" w:line="360" w:lineRule="auto" w:beforeLines="100"/>
        <w:ind w:left="360"/>
        <w:jc w:val="left"/>
      </w:pPr>
      <w:r>
        <w:rPr>
          <w:rFonts w:ascii="宋体" w:hAnsi="Times New Roman" w:eastAsia="宋体"/>
          <w:b/>
          <w:i w:val="false"/>
          <w:color w:val="000000"/>
          <w:sz w:val="22"/>
        </w:rPr>
        <w:t>高压安全防护逻辑：</w:t>
      </w:r>
    </w:p>
    <w:bookmarkEnd w:id="36"/>
    <w:bookmarkStart w:name="af8781f7afcf714a496440951685755f" w:id="37"/>
    <w:p>
      <w:pPr>
        <w:numPr>
          <w:ilvl w:val="1"/>
          <w:numId w:val="4"/>
        </w:numPr>
        <w:spacing w:after="50" w:line="360" w:lineRule="auto" w:beforeLines="100"/>
        <w:ind w:left="720"/>
        <w:jc w:val="left"/>
      </w:pPr>
      <w:r>
        <w:rPr>
          <w:rFonts w:ascii="宋体" w:hAnsi="Times New Roman" w:eastAsia="宋体"/>
          <w:b/>
          <w:i w:val="false"/>
          <w:color w:val="000000"/>
          <w:sz w:val="22"/>
        </w:rPr>
        <w:t>动力控制保护：</w:t>
      </w:r>
      <w:r>
        <w:rPr>
          <w:rFonts w:ascii="宋体" w:hAnsi="Times New Roman" w:eastAsia="宋体"/>
          <w:b w:val="false"/>
          <w:i w:val="false"/>
          <w:color w:val="000000"/>
          <w:sz w:val="22"/>
        </w:rPr>
        <w:t xml:space="preserve"> 对底盘车电机实施“软启软停”控制，并实时监测线圈/电机电流。</w:t>
      </w:r>
    </w:p>
    <w:bookmarkEnd w:id="37"/>
    <w:bookmarkStart w:name="2e5d6efba476aa421409694097208dda" w:id="38"/>
    <w:p>
      <w:pPr>
        <w:numPr>
          <w:ilvl w:val="1"/>
          <w:numId w:val="4"/>
        </w:numPr>
        <w:spacing w:after="50" w:line="360" w:lineRule="auto" w:beforeLines="100"/>
        <w:ind w:left="720"/>
        <w:jc w:val="left"/>
      </w:pPr>
      <w:r>
        <w:rPr>
          <w:rFonts w:ascii="宋体" w:hAnsi="Times New Roman" w:eastAsia="宋体"/>
          <w:b/>
          <w:i w:val="false"/>
          <w:color w:val="000000"/>
          <w:sz w:val="22"/>
        </w:rPr>
        <w:t>堵转自动反转：</w:t>
      </w:r>
      <w:r>
        <w:rPr>
          <w:rFonts w:ascii="宋体" w:hAnsi="Times New Roman" w:eastAsia="宋体"/>
          <w:b w:val="false"/>
          <w:i w:val="false"/>
          <w:color w:val="000000"/>
          <w:sz w:val="22"/>
        </w:rPr>
        <w:t xml:space="preserve"> 若底盘车或接地刀在操作中发生机械卡涩导致电机堵转（如线圈电流峰值达到</w:t>
      </w:r>
      <w:r>
        <w:rPr>
          <w:rFonts w:ascii="宋体" w:hAnsi="Times New Roman" w:eastAsia="宋体"/>
          <w:b/>
          <w:i w:val="false"/>
          <w:color w:val="000000"/>
          <w:sz w:val="22"/>
        </w:rPr>
        <w:t>0.78A</w:t>
      </w:r>
      <w:r>
        <w:rPr>
          <w:rFonts w:ascii="宋体" w:hAnsi="Times New Roman" w:eastAsia="宋体"/>
          <w:b w:val="false"/>
          <w:i w:val="false"/>
          <w:color w:val="000000"/>
          <w:sz w:val="22"/>
        </w:rPr>
        <w:t>异常），系统会立即触发保护并</w:t>
      </w:r>
      <w:r>
        <w:rPr>
          <w:rFonts w:ascii="宋体" w:hAnsi="Times New Roman" w:eastAsia="宋体"/>
          <w:b/>
          <w:i w:val="false"/>
          <w:color w:val="000000"/>
          <w:sz w:val="22"/>
        </w:rPr>
        <w:t>控制电机反转使机构退回初始位置</w:t>
      </w:r>
      <w:r>
        <w:rPr>
          <w:rFonts w:ascii="宋体" w:hAnsi="Times New Roman" w:eastAsia="宋体"/>
          <w:b w:val="false"/>
          <w:i w:val="false"/>
          <w:color w:val="000000"/>
          <w:sz w:val="22"/>
        </w:rPr>
        <w:t>，防止硬件因过载损坏。</w:t>
      </w:r>
    </w:p>
    <w:bookmarkEnd w:id="38"/>
    <w:bookmarkStart w:name="u2ea9d875" w:id="39"/>
    <w:p>
      <w:pPr>
        <w:spacing w:after="50" w:line="360" w:lineRule="auto" w:beforeLines="100"/>
        <w:ind w:left="0"/>
        <w:jc w:val="left"/>
      </w:pPr>
      <w:bookmarkStart w:name="ougx2" w:id="40"/>
      <w:r>
        <w:rPr>
          <w:rFonts w:eastAsia="宋体" w:ascii="宋体"/>
        </w:rPr>
        <w:drawing>
          <wp:inline distT="0" distB="0" distL="0" distR="0">
            <wp:extent cx="5842000" cy="13728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238133" cy="4050930"/>
                    </a:xfrm>
                    <a:prstGeom prst="rect">
                      <a:avLst/>
                    </a:prstGeom>
                  </pic:spPr>
                </pic:pic>
              </a:graphicData>
            </a:graphic>
          </wp:inline>
        </w:drawing>
      </w:r>
      <w:bookmarkEnd w:id="40"/>
    </w:p>
    <w:bookmarkEnd w:id="39"/>
    <w:bookmarkStart w:name="65eba382ed00f25548cf465b80b7cc55" w:id="41"/>
    <w:p>
      <w:pPr>
        <w:spacing w:after="50" w:line="360" w:lineRule="auto" w:beforeLines="100"/>
        <w:ind w:left="0"/>
        <w:jc w:val="left"/>
      </w:pPr>
      <w:r>
        <w:rPr>
          <w:rFonts w:ascii="宋体" w:hAnsi="Times New Roman" w:eastAsia="宋体"/>
          <w:b w:val="false"/>
          <w:i w:val="false"/>
          <w:color w:val="000000"/>
          <w:sz w:val="22"/>
        </w:rPr>
        <w:t>轨物科技的专家系统将散乱的原始采样数据转化为具备决策价值的“健康评估报告”，实现了从“盲目维护”到“按需维护”的进化。</w:t>
      </w:r>
    </w:p>
    <w:bookmarkEnd w:id="41"/>
    <w:bookmarkStart w:name="9da3f54e5d0da86868082bd366d78c32" w:id="42"/>
    <w:p>
      <w:pPr>
        <w:numPr>
          <w:ilvl w:val="0"/>
          <w:numId w:val="5"/>
        </w:numPr>
        <w:spacing w:after="50" w:line="360" w:lineRule="auto" w:beforeLines="100"/>
        <w:ind w:left="360"/>
        <w:jc w:val="left"/>
      </w:pPr>
      <w:r>
        <w:rPr>
          <w:rFonts w:ascii="宋体" w:hAnsi="Times New Roman" w:eastAsia="宋体"/>
          <w:b/>
          <w:i w:val="false"/>
          <w:color w:val="000000"/>
          <w:sz w:val="22"/>
        </w:rPr>
        <w:t>故障指纹定位：</w:t>
      </w:r>
      <w:r>
        <w:rPr>
          <w:rFonts w:ascii="宋体" w:hAnsi="Times New Roman" w:eastAsia="宋体"/>
          <w:b w:val="false"/>
          <w:i w:val="false"/>
          <w:color w:val="000000"/>
          <w:sz w:val="22"/>
        </w:rPr>
        <w:t xml:space="preserve"> 系统通过对比“实时动作曲线”与“出厂基准曲线”，可精准识别风险。例如，若线圈电流峰值波动，系统会自动推断为控制电压异常或线圈老化；若速度曲线出现异常斜率，则锁定为“机械卡涩（Mechanical Jamming）”。</w:t>
      </w:r>
    </w:p>
    <w:bookmarkEnd w:id="42"/>
    <w:bookmarkStart w:name="u48cb801b" w:id="43"/>
    <w:p>
      <w:pPr>
        <w:spacing w:after="50" w:line="360" w:lineRule="auto" w:beforeLines="100"/>
        <w:ind w:left="0"/>
        <w:jc w:val="left"/>
      </w:pPr>
      <w:bookmarkStart w:name="IGTIi" w:id="44"/>
      <w:r>
        <w:rPr>
          <w:rFonts w:eastAsia="宋体" w:ascii="宋体"/>
        </w:rPr>
        <w:drawing>
          <wp:inline distT="0" distB="0" distL="0" distR="0">
            <wp:extent cx="5842000" cy="325982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653200" cy="24916374"/>
                    </a:xfrm>
                    <a:prstGeom prst="rect">
                      <a:avLst/>
                    </a:prstGeom>
                  </pic:spPr>
                </pic:pic>
              </a:graphicData>
            </a:graphic>
          </wp:inline>
        </w:drawing>
      </w:r>
      <w:bookmarkEnd w:id="44"/>
    </w:p>
    <w:bookmarkEnd w:id="43"/>
    <w:bookmarkStart w:name="ffa28b0f4407fe15d70c844b71959b57" w:id="45"/>
    <w:p>
      <w:pPr>
        <w:numPr>
          <w:ilvl w:val="0"/>
          <w:numId w:val="6"/>
        </w:numPr>
        <w:spacing w:after="50" w:line="360" w:lineRule="auto" w:beforeLines="100"/>
        <w:ind w:left="360"/>
        <w:jc w:val="left"/>
      </w:pPr>
      <w:r>
        <w:rPr>
          <w:rFonts w:ascii="宋体" w:hAnsi="Times New Roman" w:eastAsia="宋体"/>
          <w:b/>
          <w:i w:val="false"/>
          <w:color w:val="000000"/>
          <w:sz w:val="22"/>
        </w:rPr>
        <w:t>全生命周期评估：</w:t>
      </w:r>
      <w:r>
        <w:rPr>
          <w:rFonts w:ascii="宋体" w:hAnsi="Times New Roman" w:eastAsia="宋体"/>
          <w:b w:val="false"/>
          <w:i w:val="false"/>
          <w:color w:val="000000"/>
          <w:sz w:val="22"/>
        </w:rPr>
        <w:t xml:space="preserve"> 界面直观展示“机构运维状态”。基于断路器</w:t>
      </w:r>
      <w:r>
        <w:rPr>
          <w:rFonts w:ascii="宋体" w:hAnsi="Times New Roman" w:eastAsia="宋体"/>
          <w:b/>
          <w:i w:val="false"/>
          <w:color w:val="000000"/>
          <w:sz w:val="22"/>
        </w:rPr>
        <w:t>30,000次</w:t>
      </w:r>
      <w:r>
        <w:rPr>
          <w:rFonts w:ascii="宋体" w:hAnsi="Times New Roman" w:eastAsia="宋体"/>
          <w:b w:val="false"/>
          <w:i w:val="false"/>
          <w:color w:val="000000"/>
          <w:sz w:val="22"/>
        </w:rPr>
        <w:t>的机械寿命基准、当前累计动作次数及特性偏离度，系统会自动给出“处置建议”，如“建议停电进行局部润滑”或“更换储能电机”。</w:t>
      </w:r>
    </w:p>
    <w:bookmarkEnd w:id="45"/>
    <w:bookmarkStart w:name="u631f69ea" w:id="46"/>
    <w:p>
      <w:pPr>
        <w:spacing w:after="50" w:line="360" w:lineRule="auto" w:beforeLines="100"/>
        <w:ind w:left="0"/>
        <w:jc w:val="left"/>
      </w:pPr>
      <w:bookmarkStart w:name="u139579f1" w:id="47"/>
      <w:r>
        <w:rPr>
          <w:rFonts w:eastAsia="宋体" w:ascii="宋体"/>
        </w:rPr>
        <w:drawing>
          <wp:inline distT="0" distB="0" distL="0" distR="0">
            <wp:extent cx="5842000" cy="325982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653200" cy="24916374"/>
                    </a:xfrm>
                    <a:prstGeom prst="rect">
                      <a:avLst/>
                    </a:prstGeom>
                  </pic:spPr>
                </pic:pic>
              </a:graphicData>
            </a:graphic>
          </wp:inline>
        </w:drawing>
      </w:r>
      <w:bookmarkEnd w:id="47"/>
    </w:p>
    <w:bookmarkEnd w:id="46"/>
    <w:bookmarkStart w:name="10a81d3b5431cce520215d9a25cc3bae" w:id="48"/>
    <w:p>
      <w:pPr>
        <w:numPr>
          <w:ilvl w:val="0"/>
          <w:numId w:val="7"/>
        </w:numPr>
        <w:spacing w:after="50" w:line="360" w:lineRule="auto" w:beforeLines="100"/>
        <w:ind w:left="360"/>
        <w:jc w:val="left"/>
      </w:pPr>
      <w:r>
        <w:rPr>
          <w:rFonts w:ascii="宋体" w:hAnsi="Times New Roman" w:eastAsia="宋体"/>
          <w:b/>
          <w:i w:val="false"/>
          <w:color w:val="000000"/>
          <w:sz w:val="22"/>
        </w:rPr>
        <w:t>实战应用案例：</w:t>
      </w:r>
    </w:p>
    <w:bookmarkEnd w:id="48"/>
    <w:bookmarkStart w:name="8b39207709d2e188e37e7ea3c21916b7" w:id="49"/>
    <w:p>
      <w:pPr>
        <w:numPr>
          <w:ilvl w:val="1"/>
          <w:numId w:val="8"/>
        </w:numPr>
        <w:spacing w:after="50" w:line="360" w:lineRule="auto" w:beforeLines="100"/>
        <w:ind w:left="720"/>
        <w:jc w:val="left"/>
      </w:pPr>
      <w:r>
        <w:rPr>
          <w:rFonts w:ascii="宋体" w:hAnsi="Times New Roman" w:eastAsia="宋体"/>
          <w:b/>
          <w:i w:val="false"/>
          <w:color w:val="000000"/>
          <w:sz w:val="22"/>
        </w:rPr>
        <w:t>某机场二期扩建项目：</w:t>
      </w:r>
      <w:r>
        <w:rPr>
          <w:rFonts w:ascii="宋体" w:hAnsi="Times New Roman" w:eastAsia="宋体"/>
          <w:b w:val="false"/>
          <w:i w:val="false"/>
          <w:color w:val="000000"/>
          <w:sz w:val="22"/>
        </w:rPr>
        <w:t xml:space="preserve"> 部署</w:t>
      </w:r>
      <w:r>
        <w:rPr>
          <w:rFonts w:ascii="宋体" w:hAnsi="Times New Roman" w:eastAsia="宋体"/>
          <w:b/>
          <w:i w:val="false"/>
          <w:color w:val="000000"/>
          <w:sz w:val="22"/>
        </w:rPr>
        <w:t>32套</w:t>
      </w:r>
      <w:r>
        <w:rPr>
          <w:rFonts w:ascii="宋体" w:hAnsi="Times New Roman" w:eastAsia="宋体"/>
          <w:b w:val="false"/>
          <w:i w:val="false"/>
          <w:color w:val="000000"/>
          <w:sz w:val="22"/>
        </w:rPr>
        <w:t>智能化在线监测系统，在IP54高防护等级下保障枢纽核心供电的稳定性。</w:t>
      </w:r>
    </w:p>
    <w:bookmarkEnd w:id="49"/>
    <w:bookmarkStart w:name="7b93019aed195121eb1efeb5c3389ac3" w:id="50"/>
    <w:p>
      <w:pPr>
        <w:numPr>
          <w:ilvl w:val="1"/>
          <w:numId w:val="8"/>
        </w:numPr>
        <w:spacing w:after="50" w:line="360" w:lineRule="auto" w:beforeLines="100"/>
        <w:ind w:left="720"/>
        <w:jc w:val="left"/>
      </w:pPr>
      <w:r>
        <w:rPr>
          <w:rFonts w:ascii="宋体" w:hAnsi="Times New Roman" w:eastAsia="宋体"/>
          <w:b/>
          <w:i w:val="false"/>
          <w:color w:val="000000"/>
          <w:sz w:val="22"/>
        </w:rPr>
        <w:t>花岭沟铁矿开采工程：</w:t>
      </w:r>
      <w:r>
        <w:rPr>
          <w:rFonts w:ascii="宋体" w:hAnsi="Times New Roman" w:eastAsia="宋体"/>
          <w:b w:val="false"/>
          <w:i w:val="false"/>
          <w:color w:val="000000"/>
          <w:sz w:val="22"/>
        </w:rPr>
        <w:t xml:space="preserve"> 规模化应用</w:t>
      </w:r>
      <w:r>
        <w:rPr>
          <w:rFonts w:ascii="宋体" w:hAnsi="Times New Roman" w:eastAsia="宋体"/>
          <w:b/>
          <w:i w:val="false"/>
          <w:color w:val="000000"/>
          <w:sz w:val="22"/>
        </w:rPr>
        <w:t>46套</w:t>
      </w:r>
      <w:r>
        <w:rPr>
          <w:rFonts w:ascii="宋体" w:hAnsi="Times New Roman" w:eastAsia="宋体"/>
          <w:b w:val="false"/>
          <w:i w:val="false"/>
          <w:color w:val="000000"/>
          <w:sz w:val="22"/>
        </w:rPr>
        <w:t>高压开关柜，系统通过EC104规约与调度端无缝对接，支持电动手动模式自动切换与反转保护，在高振动、高尘的矿山环境中经受了实战考验。</w:t>
      </w:r>
    </w:p>
    <w:bookmarkEnd w:id="50"/>
    <w:bookmarkStart w:name="u0f755cd7" w:id="51"/>
    <w:p>
      <w:pPr>
        <w:spacing w:after="50" w:line="360" w:lineRule="auto" w:beforeLines="100"/>
        <w:ind w:left="0"/>
        <w:jc w:val="left"/>
      </w:pPr>
      <w:bookmarkStart w:name="P0dly" w:id="52"/>
      <w:r>
        <w:rPr>
          <w:rFonts w:eastAsia="宋体" w:ascii="宋体"/>
        </w:rPr>
        <w:drawing>
          <wp:inline distT="0" distB="0" distL="0" distR="0">
            <wp:extent cx="5842000" cy="13728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238133" cy="4050930"/>
                    </a:xfrm>
                    <a:prstGeom prst="rect">
                      <a:avLst/>
                    </a:prstGeom>
                  </pic:spPr>
                </pic:pic>
              </a:graphicData>
            </a:graphic>
          </wp:inline>
        </w:drawing>
      </w:r>
      <w:bookmarkEnd w:id="52"/>
    </w:p>
    <w:bookmarkEnd w:id="51"/>
    <w:bookmarkStart w:name="u9dee3fda" w:id="53"/>
    <w:p>
      <w:pPr>
        <w:spacing w:after="50" w:line="360" w:lineRule="auto" w:beforeLines="100"/>
        <w:ind w:left="0"/>
        <w:jc w:val="left"/>
      </w:pPr>
      <w:bookmarkStart w:name="u7d24a670" w:id="54"/>
      <w:r>
        <w:rPr>
          <w:rFonts w:eastAsia="宋体" w:ascii="宋体"/>
        </w:rPr>
        <w:drawing>
          <wp:inline distT="0" distB="0" distL="0" distR="0">
            <wp:extent cx="5842000" cy="325982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653200" cy="24916374"/>
                    </a:xfrm>
                    <a:prstGeom prst="rect">
                      <a:avLst/>
                    </a:prstGeom>
                  </pic:spPr>
                </pic:pic>
              </a:graphicData>
            </a:graphic>
          </wp:inline>
        </w:drawing>
      </w:r>
      <w:bookmarkEnd w:id="54"/>
    </w:p>
    <w:bookmarkEnd w:id="53"/>
    <w:bookmarkStart w:name="7f5f2f1dba6df87d5e6f8a85bfbb4310" w:id="55"/>
    <w:p>
      <w:pPr>
        <w:spacing w:after="50" w:line="360" w:lineRule="auto" w:beforeLines="100"/>
        <w:ind w:left="0"/>
        <w:jc w:val="left"/>
      </w:pPr>
      <w:r>
        <w:rPr>
          <w:rFonts w:ascii="宋体" w:hAnsi="Times New Roman" w:eastAsia="宋体"/>
          <w:b w:val="false"/>
          <w:i w:val="false"/>
          <w:color w:val="000000"/>
          <w:sz w:val="22"/>
        </w:rPr>
        <w:t>轨物科技（Thingcom）所提供的不仅是传感器硬件，更是一套基于“数字孪生”理念的电力资产管理方案。通过跨界融合物联网感知、边缘计算与AI诊断算法，开关柜从冷冰冰的钢铁设备进化为“看得见、听得懂、会思考”的数字化资产。</w:t>
      </w:r>
    </w:p>
    <w:bookmarkEnd w:id="55"/>
    <w:bookmarkStart w:name="f36cf889f11a0e0741063d524c5600e6" w:id="56"/>
    <w:p>
      <w:pPr>
        <w:spacing w:after="50" w:line="360" w:lineRule="auto" w:beforeLines="100"/>
        <w:ind w:left="0"/>
        <w:jc w:val="left"/>
      </w:pPr>
      <w:r>
        <w:rPr>
          <w:rFonts w:ascii="宋体" w:hAnsi="Times New Roman" w:eastAsia="宋体"/>
          <w:b w:val="false"/>
          <w:i w:val="false"/>
          <w:color w:val="000000"/>
          <w:sz w:val="22"/>
        </w:rPr>
        <w:t>这种从“执行程序”到“智能决策”的闭环创新，不仅为电网提供了长期的安全性与确定性，更为工业制造业的数智化转型树立了行业标杆。未来，这套“数字化运维大脑”将继续深耕，赋能更加绿色、高效、智能的数字配电网。</w:t>
      </w:r>
    </w:p>
    <w:bookmarkEnd w:id="56"/>
    <w:bookmarkStart w:name="566e15b0e5d6ba56b3595bbff01978aa" w:id="57"/>
    <w:p>
      <w:pPr>
        <w:spacing w:after="50" w:line="360" w:lineRule="auto" w:beforeLines="100"/>
        <w:ind w:left="0"/>
        <w:jc w:val="left"/>
      </w:pPr>
      <w:bookmarkStart w:name="u84891859" w:id="58"/>
      <w:r>
        <w:rPr>
          <w:rFonts w:eastAsia="宋体" w:ascii="宋体"/>
        </w:rPr>
        <w:drawing>
          <wp:inline distT="0" distB="0" distL="0" distR="0">
            <wp:extent cx="5842000" cy="162407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5927337" cy="26667706"/>
                    </a:xfrm>
                    <a:prstGeom prst="rect">
                      <a:avLst/>
                    </a:prstGeom>
                  </pic:spPr>
                </pic:pic>
              </a:graphicData>
            </a:graphic>
          </wp:inline>
        </w:drawing>
      </w:r>
      <w:bookmarkEnd w:id="58"/>
    </w:p>
    <w:bookmarkEnd w:id="57"/>
    <w:bookmarkStart w:name="u33cab519" w:id="59"/>
    <w:p>
      <w:pPr>
        <w:spacing w:after="50" w:line="360" w:lineRule="auto" w:beforeLines="100"/>
        <w:ind w:left="0"/>
        <w:jc w:val="left"/>
      </w:pPr>
      <w:bookmarkStart w:name="u23df1d88" w:id="60"/>
      <w:r>
        <w:rPr>
          <w:rFonts w:eastAsia="宋体" w:ascii="宋体"/>
        </w:rPr>
        <w:drawing>
          <wp:inline distT="0" distB="0" distL="0" distR="0">
            <wp:extent cx="5841999" cy="32948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207067" cy="8012748"/>
                    </a:xfrm>
                    <a:prstGeom prst="rect">
                      <a:avLst/>
                    </a:prstGeom>
                  </pic:spPr>
                </pic:pic>
              </a:graphicData>
            </a:graphic>
          </wp:inline>
        </w:drawing>
      </w:r>
      <w:bookmarkEnd w:id="60"/>
      <w:bookmarkStart w:name="u88d305b8" w:id="61"/>
      <w:r>
        <w:rPr>
          <w:rFonts w:eastAsia="宋体" w:ascii="宋体"/>
        </w:rPr>
        <w:drawing>
          <wp:inline distT="0" distB="0" distL="0" distR="0">
            <wp:extent cx="5842000" cy="472607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694400" cy="15123446"/>
                    </a:xfrm>
                    <a:prstGeom prst="rect">
                      <a:avLst/>
                    </a:prstGeom>
                  </pic:spPr>
                </pic:pic>
              </a:graphicData>
            </a:graphic>
          </wp:inline>
        </w:drawing>
      </w:r>
      <w:bookmarkEnd w:id="61"/>
    </w:p>
    <w:bookmarkEnd w:id="59"/>
    <w:bookmarkStart w:name="u2d29b052" w:id="62"/>
    <w:p>
      <w:pPr>
        <w:spacing w:after="50" w:line="360" w:lineRule="auto" w:beforeLines="100"/>
        <w:ind w:left="0"/>
        <w:jc w:val="left"/>
      </w:pPr>
      <w:bookmarkStart w:name="ue16fd594" w:id="63"/>
      <w:r>
        <w:rPr>
          <w:rFonts w:eastAsia="宋体" w:ascii="宋体"/>
        </w:rPr>
        <w:drawing>
          <wp:inline distT="0" distB="0" distL="0" distR="0">
            <wp:extent cx="5842000" cy="4848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487466" cy="1866421"/>
                    </a:xfrm>
                    <a:prstGeom prst="rect">
                      <a:avLst/>
                    </a:prstGeom>
                  </pic:spPr>
                </pic:pic>
              </a:graphicData>
            </a:graphic>
          </wp:inline>
        </w:drawing>
      </w:r>
      <w:bookmarkEnd w:id="63"/>
    </w:p>
    <w:bookmarkEnd w:id="62"/>
    <w:bookmarkStart w:name="u5c8bd8dd" w:id="64"/>
    <w:p>
      <w:pPr>
        <w:spacing w:after="50" w:line="360" w:lineRule="auto" w:beforeLines="100"/>
        <w:ind w:left="0"/>
        <w:jc w:val="left"/>
      </w:pPr>
      <w:bookmarkStart w:name="u7f001e3a" w:id="65"/>
      <w:r>
        <w:rPr>
          <w:rFonts w:eastAsia="宋体" w:ascii="宋体"/>
        </w:rPr>
        <w:drawing>
          <wp:inline distT="0" distB="0" distL="0" distR="0">
            <wp:extent cx="5841999" cy="5257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690666" cy="2042100"/>
                    </a:xfrm>
                    <a:prstGeom prst="rect">
                      <a:avLst/>
                    </a:prstGeom>
                  </pic:spPr>
                </pic:pic>
              </a:graphicData>
            </a:graphic>
          </wp:inline>
        </w:drawing>
      </w:r>
      <w:bookmarkEnd w:id="65"/>
      <w:bookmarkStart w:name="u261d8a76" w:id="66"/>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804800" cy="14419704"/>
                    </a:xfrm>
                    <a:prstGeom prst="rect">
                      <a:avLst/>
                    </a:prstGeom>
                  </pic:spPr>
                </pic:pic>
              </a:graphicData>
            </a:graphic>
          </wp:inline>
        </w:drawing>
      </w:r>
      <w:bookmarkEnd w:id="66"/>
      <w:bookmarkStart w:name="uba341da1" w:id="67"/>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804800" cy="14419704"/>
                    </a:xfrm>
                    <a:prstGeom prst="rect">
                      <a:avLst/>
                    </a:prstGeom>
                  </pic:spPr>
                </pic:pic>
              </a:graphicData>
            </a:graphic>
          </wp:inline>
        </w:drawing>
      </w:r>
      <w:bookmarkEnd w:id="67"/>
      <w:bookmarkStart w:name="u5ef8aeff" w:id="68"/>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804800" cy="14419704"/>
                    </a:xfrm>
                    <a:prstGeom prst="rect">
                      <a:avLst/>
                    </a:prstGeom>
                  </pic:spPr>
                </pic:pic>
              </a:graphicData>
            </a:graphic>
          </wp:inline>
        </w:drawing>
      </w:r>
      <w:bookmarkEnd w:id="68"/>
      <w:bookmarkStart w:name="u6121af4b" w:id="69"/>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804800" cy="14419704"/>
                    </a:xfrm>
                    <a:prstGeom prst="rect">
                      <a:avLst/>
                    </a:prstGeom>
                  </pic:spPr>
                </pic:pic>
              </a:graphicData>
            </a:graphic>
          </wp:inline>
        </w:drawing>
      </w:r>
      <w:bookmarkEnd w:id="69"/>
      <w:bookmarkStart w:name="u59022261" w:id="70"/>
      <w:r>
        <w:rPr>
          <w:rFonts w:eastAsia="宋体" w:ascii="宋体"/>
        </w:rPr>
        <w:drawing>
          <wp:inline distT="0" distB="0" distL="0" distR="0">
            <wp:extent cx="5842000" cy="286248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628533" cy="8147720"/>
                    </a:xfrm>
                    <a:prstGeom prst="rect">
                      <a:avLst/>
                    </a:prstGeom>
                  </pic:spPr>
                </pic:pic>
              </a:graphicData>
            </a:graphic>
          </wp:inline>
        </w:drawing>
      </w:r>
      <w:bookmarkEnd w:id="70"/>
    </w:p>
    <w:bookmarkEnd w:id="64"/>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1">
      <w:start w:val="1"/>
      <w:numFmt w:val="lowerLetter"/>
      <w:lvlText w:val="o"/>
      <w:lvlJc w:val="left"/>
      <w:pPr>
        <w:ind w:left="1560" w:hanging="360"/>
      </w:pPr>
      <w:rPr>
        <w:rFonts w:hint="default" w:ascii="Courier New" w:hAnsi="Courier New" w:cs="Courier New"/>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1">
      <w:start w:val="1"/>
      <w:numFmt w:val="lowerLetter"/>
      <w:lvlText w:val="o"/>
      <w:lvlJc w:val="left"/>
      <w:pPr>
        <w:ind w:left="1560" w:hanging="360"/>
      </w:pPr>
      <w:rPr>
        <w:rFonts w:hint="default" w:ascii="Courier New" w:hAnsi="Courier New" w:cs="Courier New"/>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18" Target="media/document_image_rId18.png" Type="http://schemas.openxmlformats.org/officeDocument/2006/relationships/image"/><Relationship Id="rId19" Target="media/document_image_rId19.png" Type="http://schemas.openxmlformats.org/officeDocument/2006/relationships/image"/><Relationship Id="rId2" Target="settings.xml" Type="http://schemas.openxmlformats.org/officeDocument/2006/relationships/settings"/><Relationship Id="rId20" Target="media/document_image_rId20.png" Type="http://schemas.openxmlformats.org/officeDocument/2006/relationships/image"/><Relationship Id="rId21" Target="media/document_image_rId21.png" Type="http://schemas.openxmlformats.org/officeDocument/2006/relationships/image"/><Relationship Id="rId22" Target="media/document_image_rId22.png" Type="http://schemas.openxmlformats.org/officeDocument/2006/relationships/image"/><Relationship Id="rId23" Target="media/document_image_rId23.png" Type="http://schemas.openxmlformats.org/officeDocument/2006/relationships/image"/><Relationship Id="rId24" Target="media/document_image_rId24.png" Type="http://schemas.openxmlformats.org/officeDocument/2006/relationships/image"/><Relationship Id="rId25" Target="media/document_image_rId25.png" Type="http://schemas.openxmlformats.org/officeDocument/2006/relationships/image"/><Relationship Id="rId26" Target="media/document_image_rId26.png" Type="http://schemas.openxmlformats.org/officeDocument/2006/relationships/image"/><Relationship Id="rId27" Target="media/document_image_rId27.png" Type="http://schemas.openxmlformats.org/officeDocument/2006/relationships/image"/><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