
<file path=[Content_Types].xml><?xml version="1.0" encoding="utf-8"?>
<Types xmlns="http://schemas.openxmlformats.org/package/2006/content-types">
  <Default ContentType="application/vnd.openxmlformats-package.relationships+xml" Extension="rels"/>
  <Default ContentType="application/vnd.openxmlformats-officedocument.wordprocessingml.document.main+xml" Extension="xml"/>
  <Override ContentType="application/vnd.openxmlformats-officedocument.extended-properties+xml" PartName="/docProps/app.xml"/>
  <Override ContentType="application/vnd.openxmlformats-package.core-properties+xml" PartName="/docProps/core.xml"/>
  <Override ContentType="image/png" PartName="/word/media/document_image_rId4.png"/>
  <Override ContentType="image/png" PartName="/word/media/document_image_rId5.png"/>
  <Override ContentType="image/png" PartName="/word/media/document_image_rId6.png"/>
  <Override ContentType="image/png" PartName="/word/media/document_image_rId7.png"/>
  <Override ContentType="image/png" PartName="/word/media/document_image_rId8.png"/>
  <Override ContentType="image/png" PartName="/word/media/document_image_rId9.png"/>
  <Override ContentType="image/png" PartName="/word/media/document_image_rId10.png"/>
  <Override ContentType="image/png" PartName="/word/media/document_image_rId11.png"/>
  <Override ContentType="image/png" PartName="/word/media/document_image_rId12.png"/>
  <Override ContentType="image/png" PartName="/word/media/document_image_rId13.png"/>
  <Override ContentType="image/png" PartName="/word/media/document_image_rId14.png"/>
  <Override ContentType="image/png" PartName="/word/media/document_image_rId15.png"/>
  <Override ContentType="image/png" PartName="/word/media/document_image_rId16.png"/>
  <Override ContentType="image/png" PartName="/word/media/document_image_rId17.png"/>
  <Override ContentType="image/png" PartName="/word/media/document_image_rId18.png"/>
  <Override ContentType="image/png" PartName="/word/media/document_image_rId19.png"/>
  <Override ContentType="image/png" PartName="/word/media/document_image_rId20.png"/>
  <Override ContentType="image/png" PartName="/word/media/document_image_rId21.png"/>
  <Override ContentType="image/png" PartName="/word/media/document_image_rId22.png"/>
  <Override ContentType="image/png" PartName="/word/media/document_image_rId23.png"/>
  <Override ContentType="image/png" PartName="/word/media/document_image_rId24.png"/>
  <Override ContentType="image/png" PartName="/word/media/document_image_rId25.png"/>
  <Override ContentType="image/png" PartName="/word/media/document_image_rId26.png"/>
  <Override ContentType="image/png" PartName="/word/media/document_image_rId27.png"/>
  <Override ContentType="image/png" PartName="/word/media/document_image_rId28.png"/>
  <Override ContentType="image/png" PartName="/word/media/document_image_rId29.png"/>
  <Override ContentType="image/png" PartName="/word/media/document_image_rId30.png"/>
  <Override ContentType="image/png" PartName="/word/media/document_image_rId31.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w:body>
    <!-- Created by docx4j 6.1.2 (Apache licensed) using REFERENCE JAXB in Oracle Java 1.8.0_131 on Linux -->
    <w:p>
      <w:pPr>
        <w:pStyle w:val="Heading1"/>
        <w:spacing w:after="50" w:line="360" w:lineRule="auto" w:beforeLines="100"/>
        <w:ind w:left="0"/>
        <w:jc w:val="left"/>
      </w:pPr>
      <w:r>
        <w:rPr>
          <w:rFonts w:ascii="宋体" w:hAnsi="Times New Roman" w:eastAsia="宋体"/>
        </w:rPr>
        <w:t>【技术白皮书】以 SR-IED 为核心的数字化开关柜一键顺控系统底层逻辑与架构分析技术白皮书</w:t>
      </w:r>
    </w:p>
    <w:p>
      <w:pPr>
        <w:pStyle w:val="Heading1"/>
        <w:spacing w:after="50" w:line="360" w:lineRule="auto" w:beforeLines="100"/>
        <w:ind w:left="0"/>
        <w:jc w:val="left"/>
      </w:pPr>
      <w:bookmarkStart w:name="0IP3w" w:id="0"/>
      <w:bookmarkStart w:name="QsLME" w:id="1"/>
      <w:r>
        <w:rPr>
          <w:rFonts w:eastAsia="宋体" w:ascii="宋体"/>
        </w:rPr>
        <w:drawing>
          <wp:inline distT="0" distB="0" distL="0" distR="0">
            <wp:extent cx="5842000" cy="379722"/>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22487466" cy="1461655"/>
                    </a:xfrm>
                    <a:prstGeom prst="rect">
                      <a:avLst/>
                    </a:prstGeom>
                  </pic:spPr>
                </pic:pic>
              </a:graphicData>
            </a:graphic>
          </wp:inline>
        </w:drawing>
      </w:r>
      <w:bookmarkEnd w:id="1"/>
    </w:p>
    <w:bookmarkEnd w:id="0"/>
    <w:bookmarkStart w:name="u4294965a" w:id="2"/>
    <w:p>
      <w:pPr>
        <w:spacing w:after="50" w:line="360" w:lineRule="auto" w:beforeLines="100"/>
        <w:ind w:left="0"/>
        <w:jc w:val="left"/>
      </w:pPr>
      <w:bookmarkStart w:name="ua748ce13" w:id="3"/>
      <w:r>
        <w:rPr>
          <w:rFonts w:eastAsia="宋体" w:ascii="宋体"/>
        </w:rPr>
        <w:drawing>
          <wp:inline distT="0" distB="0" distL="0" distR="0">
            <wp:extent cx="5842000" cy="7793174"/>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58318400" cy="77796212"/>
                    </a:xfrm>
                    <a:prstGeom prst="rect">
                      <a:avLst/>
                    </a:prstGeom>
                  </pic:spPr>
                </pic:pic>
              </a:graphicData>
            </a:graphic>
          </wp:inline>
        </w:drawing>
      </w:r>
      <w:bookmarkEnd w:id="3"/>
    </w:p>
    <w:bookmarkEnd w:id="2"/>
    <w:bookmarkStart w:name="u4c86f3aa" w:id="4"/>
    <w:p>
      <w:pPr>
        <w:spacing w:after="50" w:line="360" w:lineRule="auto" w:beforeLines="100"/>
        <w:ind w:left="0"/>
        <w:jc w:val="left"/>
      </w:pPr>
      <w:bookmarkStart w:name="g3Dcj" w:id="5"/>
      <w:r>
        <w:rPr>
          <w:rFonts w:eastAsia="宋体" w:ascii="宋体"/>
        </w:rPr>
        <w:drawing>
          <wp:inline distT="0" distB="0" distL="0" distR="0">
            <wp:extent cx="5842000" cy="1308538"/>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17542933" cy="3929408"/>
                    </a:xfrm>
                    <a:prstGeom prst="rect">
                      <a:avLst/>
                    </a:prstGeom>
                  </pic:spPr>
                </pic:pic>
              </a:graphicData>
            </a:graphic>
          </wp:inline>
        </w:drawing>
      </w:r>
      <w:bookmarkEnd w:id="5"/>
    </w:p>
    <w:bookmarkEnd w:id="4"/>
    <w:bookmarkStart w:name="fedae2813ddb04355e617b1754ee44ec" w:id="6"/>
    <w:p>
      <w:pPr>
        <w:spacing w:after="50" w:line="360" w:lineRule="auto" w:beforeLines="100"/>
        <w:ind w:left="0"/>
        <w:jc w:val="left"/>
      </w:pPr>
      <w:r>
        <w:rPr>
          <w:rFonts w:ascii="宋体" w:hAnsi="Times New Roman" w:eastAsia="宋体"/>
          <w:b w:val="false"/>
          <w:i w:val="false"/>
          <w:color w:val="000000"/>
          <w:sz w:val="22"/>
        </w:rPr>
        <w:t>在民航机场等关键基础设施的供电保障中，电力系统的“高可用性”（High Availability）是维持机场运行的生命线。传统的倒闸操作模式深度依赖人工“唱票-复诵-现场操作-位置检查”，在复杂的运行压力下，不仅效率受限，更难以规避潜在的“人因事故”（Human Error）。</w:t>
      </w:r>
    </w:p>
    <w:bookmarkEnd w:id="6"/>
    <w:bookmarkStart w:name="a9a348f69a78f0606e24fc485f2ec69b" w:id="7"/>
    <w:p>
      <w:pPr>
        <w:spacing w:after="50" w:line="360" w:lineRule="auto" w:beforeLines="100"/>
        <w:ind w:left="0"/>
        <w:jc w:val="left"/>
      </w:pPr>
      <w:r>
        <w:rPr>
          <w:rFonts w:ascii="宋体" w:hAnsi="Times New Roman" w:eastAsia="宋体"/>
          <w:b w:val="false"/>
          <w:i w:val="false"/>
          <w:color w:val="000000"/>
          <w:sz w:val="22"/>
        </w:rPr>
        <w:t>随着智慧机场建设迈入深水区，电力系统正经历从传统人工向智能化“一键顺控”的战略转型。所谓“一键顺控”，是根据《一键顺控逻辑与开关柜状态切换规范》，将操作票固化为计算机程序，实现“任务模块化、状态自动判别、防误全校核、步骤顺序执行”。</w:t>
      </w:r>
    </w:p>
    <w:bookmarkEnd w:id="7"/>
    <w:bookmarkStart w:name="f1db3c3b1e6c9537beb0f748e737629e" w:id="8"/>
    <w:p>
      <w:pPr>
        <w:spacing w:after="50" w:line="360" w:lineRule="auto" w:beforeLines="100"/>
        <w:ind w:left="0"/>
        <w:jc w:val="left"/>
      </w:pPr>
      <w:r>
        <w:rPr>
          <w:rFonts w:ascii="宋体" w:hAnsi="Times New Roman" w:eastAsia="宋体"/>
          <w:b/>
          <w:i w:val="false"/>
          <w:color w:val="004347"/>
          <w:sz w:val="22"/>
        </w:rPr>
        <w:t>首席架构师分析（Strategic Value）：</w:t>
      </w:r>
      <w:r>
        <w:rPr>
          <w:rFonts w:ascii="宋体" w:hAnsi="Times New Roman" w:eastAsia="宋体"/>
          <w:b w:val="false"/>
          <w:i w:val="false"/>
          <w:color w:val="004347"/>
          <w:sz w:val="22"/>
        </w:rPr>
        <w:t xml:space="preserve"> </w:t>
      </w:r>
      <w:r>
        <w:rPr>
          <w:rFonts w:ascii="宋体" w:hAnsi="Times New Roman" w:eastAsia="宋体"/>
          <w:b w:val="false"/>
          <w:i w:val="false"/>
          <w:color w:val="000000"/>
          <w:sz w:val="22"/>
        </w:rPr>
        <w:t>从人工到一键顺控的转变，核心价值在于推动机场运维向“无人值守/少人值守”模式的实质性跨越：</w:t>
      </w:r>
    </w:p>
    <w:bookmarkEnd w:id="8"/>
    <w:bookmarkStart w:name="1b977e8dd1902b48282270b189a36fe5" w:id="9"/>
    <w:p>
      <w:pPr>
        <w:numPr>
          <w:ilvl w:val="0"/>
          <w:numId w:val="1"/>
        </w:numPr>
        <w:spacing w:after="50" w:line="360" w:lineRule="auto" w:beforeLines="100"/>
        <w:ind w:left="360"/>
        <w:jc w:val="left"/>
      </w:pPr>
      <w:r>
        <w:rPr>
          <w:rFonts w:ascii="宋体" w:hAnsi="Times New Roman" w:eastAsia="宋体"/>
          <w:b/>
          <w:i w:val="false"/>
          <w:color w:val="004347"/>
          <w:sz w:val="22"/>
        </w:rPr>
        <w:t>效率革命：</w:t>
      </w:r>
      <w:r>
        <w:rPr>
          <w:rFonts w:ascii="宋体" w:hAnsi="Times New Roman" w:eastAsia="宋体"/>
          <w:b w:val="false"/>
          <w:i w:val="false"/>
          <w:color w:val="000000"/>
          <w:sz w:val="22"/>
        </w:rPr>
        <w:t xml:space="preserve"> 根据源背景评估，一键执行可将操作时间缩短约 70%。典型停送电操作耗时由“小时级”压缩至“分钟级”，单次启动耗时累计优化可达 10 小时以上。</w:t>
      </w:r>
    </w:p>
    <w:bookmarkEnd w:id="9"/>
    <w:bookmarkStart w:name="a221facac081786cc63d0ce72995c48d" w:id="10"/>
    <w:p>
      <w:pPr>
        <w:numPr>
          <w:ilvl w:val="0"/>
          <w:numId w:val="1"/>
        </w:numPr>
        <w:spacing w:after="50" w:line="360" w:lineRule="auto" w:beforeLines="100"/>
        <w:ind w:left="360"/>
        <w:jc w:val="left"/>
      </w:pPr>
      <w:r>
        <w:rPr>
          <w:rFonts w:ascii="宋体" w:hAnsi="Times New Roman" w:eastAsia="宋体"/>
          <w:b/>
          <w:i w:val="false"/>
          <w:color w:val="004347"/>
          <w:sz w:val="22"/>
        </w:rPr>
        <w:t>安全本质化：</w:t>
      </w:r>
      <w:r>
        <w:rPr>
          <w:rFonts w:ascii="宋体" w:hAnsi="Times New Roman" w:eastAsia="宋体"/>
          <w:b w:val="false"/>
          <w:i w:val="false"/>
          <w:color w:val="000000"/>
          <w:sz w:val="22"/>
        </w:rPr>
        <w:t xml:space="preserve"> 通过数字化逻辑强制闭锁，从源头上杜绝了带负荷合接地刀等恶性误操作，将安全保障由“人为约束”转变为“算法硬约束”。</w:t>
      </w:r>
    </w:p>
    <w:bookmarkEnd w:id="10"/>
    <w:bookmarkStart w:name="u6468178f" w:id="11"/>
    <w:p>
      <w:pPr>
        <w:spacing w:after="50" w:line="360" w:lineRule="auto" w:beforeLines="100"/>
        <w:ind w:left="0"/>
        <w:jc w:val="left"/>
      </w:pPr>
      <w:bookmarkStart w:name="u57317a60" w:id="12"/>
      <w:r>
        <w:rPr>
          <w:rFonts w:eastAsia="宋体" w:ascii="宋体"/>
        </w:rPr>
        <w:drawing>
          <wp:inline distT="0" distB="0" distL="0" distR="0">
            <wp:extent cx="5842000" cy="3259798"/>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51409600" cy="28686222"/>
                    </a:xfrm>
                    <a:prstGeom prst="rect">
                      <a:avLst/>
                    </a:prstGeom>
                  </pic:spPr>
                </pic:pic>
              </a:graphicData>
            </a:graphic>
          </wp:inline>
        </w:drawing>
      </w:r>
      <w:bookmarkEnd w:id="12"/>
    </w:p>
    <w:bookmarkEnd w:id="11"/>
    <w:bookmarkStart w:name="70c4a5ed4d271f2ac369a153391f84c2" w:id="13"/>
    <w:p>
      <w:pPr>
        <w:spacing w:after="50" w:line="360" w:lineRule="auto" w:beforeLines="100"/>
        <w:ind w:left="0"/>
        <w:jc w:val="left"/>
      </w:pPr>
      <w:r>
        <w:rPr>
          <w:rFonts w:ascii="宋体" w:hAnsi="Times New Roman" w:eastAsia="宋体"/>
          <w:b w:val="false"/>
          <w:i w:val="false"/>
          <w:color w:val="000000"/>
          <w:sz w:val="22"/>
        </w:rPr>
        <w:t>这种转型不仅是操作方式的改变，更是配电系统底层架构的数字化重构，而高性能的智能边缘网关（SR-IED）正是支撑这一重构的物理底座。</w:t>
      </w:r>
    </w:p>
    <w:bookmarkEnd w:id="13"/>
    <w:bookmarkStart w:name="dqBr1" w:id="14"/>
    <w:p>
      <w:pPr>
        <w:pStyle w:val="Heading2"/>
        <w:spacing w:after="50" w:line="360" w:lineRule="auto" w:beforeLines="100"/>
        <w:ind w:left="0"/>
        <w:jc w:val="left"/>
      </w:pPr>
      <w:bookmarkStart w:name="lLUs7" w:id="15"/>
      <w:r>
        <w:rPr>
          <w:rFonts w:eastAsia="宋体" w:ascii="宋体"/>
        </w:rPr>
        <w:drawing>
          <wp:inline distT="0" distB="0" distL="0" distR="0">
            <wp:extent cx="5841999" cy="1372802"/>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17559867" cy="4126365"/>
                    </a:xfrm>
                    <a:prstGeom prst="rect">
                      <a:avLst/>
                    </a:prstGeom>
                  </pic:spPr>
                </pic:pic>
              </a:graphicData>
            </a:graphic>
          </wp:inline>
        </w:drawing>
      </w:r>
      <w:bookmarkEnd w:id="15"/>
    </w:p>
    <w:bookmarkEnd w:id="14"/>
    <w:bookmarkStart w:name="032627c44c1e05d7ddb5f6cab417ef31" w:id="16"/>
    <w:p>
      <w:pPr>
        <w:spacing w:after="50" w:line="360" w:lineRule="auto" w:beforeLines="100"/>
        <w:ind w:left="0"/>
        <w:jc w:val="left"/>
      </w:pPr>
      <w:r>
        <w:rPr>
          <w:rFonts w:ascii="宋体" w:hAnsi="Times New Roman" w:eastAsia="宋体"/>
          <w:b w:val="false"/>
          <w:i w:val="false"/>
          <w:color w:val="000000"/>
          <w:sz w:val="22"/>
        </w:rPr>
        <w:t xml:space="preserve">本方案构建了一个层级分明、软硬高度集成的全栈数字化架构，以 </w:t>
      </w:r>
      <w:r>
        <w:rPr>
          <w:rFonts w:ascii="宋体" w:hAnsi="Times New Roman" w:eastAsia="宋体"/>
          <w:b/>
          <w:i w:val="false"/>
          <w:color w:val="004347"/>
          <w:sz w:val="22"/>
        </w:rPr>
        <w:t>SR-IED 智能边缘网关</w:t>
      </w:r>
      <w:r>
        <w:rPr>
          <w:rFonts w:ascii="宋体" w:hAnsi="Times New Roman" w:eastAsia="宋体"/>
          <w:b w:val="false"/>
          <w:i w:val="false"/>
          <w:color w:val="000000"/>
          <w:sz w:val="22"/>
        </w:rPr>
        <w:t>为控制中枢，驱动底层传感器与执行机构的深度融合。</w:t>
      </w:r>
    </w:p>
    <w:bookmarkEnd w:id="16"/>
    <w:bookmarkStart w:name="6cb7p" w:id="17"/>
    <w:p>
      <w:pPr>
        <w:pStyle w:val="Heading3"/>
        <w:spacing w:after="50" w:line="360" w:lineRule="auto" w:beforeLines="100"/>
        <w:ind w:left="0"/>
        <w:jc w:val="left"/>
      </w:pPr>
      <w:r>
        <w:rPr>
          <w:rFonts w:ascii="宋体" w:hAnsi="Times New Roman" w:eastAsia="宋体"/>
          <w:color w:val="004347"/>
        </w:rPr>
        <w:t>2.1 SR-IED 智能边缘网关：系统的“大脑”</w:t>
      </w:r>
    </w:p>
    <w:bookmarkEnd w:id="17"/>
    <w:bookmarkStart w:name="1709ce9e559ddead4a253c52b822ffe0" w:id="18"/>
    <w:p>
      <w:pPr>
        <w:spacing w:after="50" w:line="360" w:lineRule="auto" w:beforeLines="100"/>
        <w:ind w:left="0"/>
        <w:jc w:val="left"/>
      </w:pPr>
      <w:r>
        <w:rPr>
          <w:rFonts w:ascii="宋体" w:hAnsi="Times New Roman" w:eastAsia="宋体"/>
          <w:b w:val="false"/>
          <w:i w:val="false"/>
          <w:color w:val="000000"/>
          <w:sz w:val="22"/>
        </w:rPr>
        <w:t>SR-IED 是开关柜的数据汇聚与逻辑处理中心，其接口能力与协议兼容性决定了系统的扩展深度。</w:t>
      </w:r>
    </w:p>
    <w:bookmarkEnd w:id="18"/>
    <w:bookmarkStart w:name="c6c50912f516b690fbfa2eeb519de1b4" w:id="19"/>
    <w:p>
      <w:pPr>
        <w:numPr>
          <w:ilvl w:val="0"/>
          <w:numId w:val="2"/>
        </w:numPr>
        <w:spacing w:after="50" w:line="360" w:lineRule="auto" w:beforeLines="100"/>
        <w:ind w:left="360"/>
        <w:jc w:val="left"/>
      </w:pPr>
      <w:r>
        <w:rPr>
          <w:rFonts w:ascii="宋体" w:hAnsi="Times New Roman" w:eastAsia="宋体"/>
          <w:b/>
          <w:i w:val="false"/>
          <w:color w:val="004347"/>
          <w:sz w:val="22"/>
        </w:rPr>
        <w:t>物理接口：</w:t>
      </w:r>
      <w:r>
        <w:rPr>
          <w:rFonts w:ascii="宋体" w:hAnsi="Times New Roman" w:eastAsia="宋体"/>
          <w:b w:val="false"/>
          <w:i w:val="false"/>
          <w:color w:val="000000"/>
          <w:sz w:val="22"/>
        </w:rPr>
        <w:t xml:space="preserve"> 配置 8 个 RS485 接口、8 个以太网口，支持接入 3 个</w:t>
      </w:r>
      <w:r>
        <w:rPr>
          <w:rFonts w:ascii="宋体" w:hAnsi="Times New Roman" w:eastAsia="宋体"/>
          <w:b/>
          <w:i w:val="false"/>
          <w:color w:val="004347"/>
          <w:sz w:val="22"/>
        </w:rPr>
        <w:t>温湿度传感器</w:t>
      </w:r>
      <w:r>
        <w:rPr>
          <w:rFonts w:ascii="宋体" w:hAnsi="Times New Roman" w:eastAsia="宋体"/>
          <w:b w:val="false"/>
          <w:i w:val="false"/>
          <w:color w:val="000000"/>
          <w:sz w:val="22"/>
        </w:rPr>
        <w:t>。 humidity 监测的引入是实现“智能除湿”与环境预警的关键。</w:t>
      </w:r>
    </w:p>
    <w:bookmarkEnd w:id="19"/>
    <w:bookmarkStart w:name="586cf5770371510b24cd597a363063ba" w:id="20"/>
    <w:p>
      <w:pPr>
        <w:numPr>
          <w:ilvl w:val="0"/>
          <w:numId w:val="2"/>
        </w:numPr>
        <w:spacing w:after="50" w:line="360" w:lineRule="auto" w:beforeLines="100"/>
        <w:ind w:left="360"/>
        <w:jc w:val="left"/>
      </w:pPr>
      <w:r>
        <w:rPr>
          <w:rFonts w:ascii="宋体" w:hAnsi="Times New Roman" w:eastAsia="宋体"/>
          <w:b/>
          <w:i w:val="false"/>
          <w:color w:val="004347"/>
          <w:sz w:val="22"/>
        </w:rPr>
        <w:t>通讯协议：</w:t>
      </w:r>
      <w:r>
        <w:rPr>
          <w:rFonts w:ascii="宋体" w:hAnsi="Times New Roman" w:eastAsia="宋体"/>
          <w:b w:val="false"/>
          <w:i w:val="false"/>
          <w:color w:val="000000"/>
          <w:sz w:val="22"/>
        </w:rPr>
        <w:t xml:space="preserve"> 默认支持多规约转换，并可选配</w:t>
      </w:r>
      <w:r>
        <w:rPr>
          <w:rFonts w:ascii="宋体" w:hAnsi="Times New Roman" w:eastAsia="宋体"/>
          <w:b/>
          <w:i w:val="false"/>
          <w:color w:val="004347"/>
          <w:sz w:val="22"/>
        </w:rPr>
        <w:t xml:space="preserve"> IEC 61850</w:t>
      </w:r>
      <w:r>
        <w:rPr>
          <w:rFonts w:ascii="宋体" w:hAnsi="Times New Roman" w:eastAsia="宋体"/>
          <w:b w:val="false"/>
          <w:i w:val="false"/>
          <w:color w:val="000000"/>
          <w:sz w:val="22"/>
        </w:rPr>
        <w:t xml:space="preserve"> 通讯协议，确保与民航、国网标准自动化平台的无缝对接。</w:t>
      </w:r>
    </w:p>
    <w:bookmarkEnd w:id="20"/>
    <w:bookmarkStart w:name="ca891c33dada9c7d82a1978bd8c39fda" w:id="21"/>
    <w:p>
      <w:pPr>
        <w:numPr>
          <w:ilvl w:val="0"/>
          <w:numId w:val="2"/>
        </w:numPr>
        <w:spacing w:after="50" w:line="360" w:lineRule="auto" w:beforeLines="100"/>
        <w:ind w:left="360"/>
        <w:jc w:val="left"/>
      </w:pPr>
      <w:r>
        <w:rPr>
          <w:rFonts w:ascii="宋体" w:hAnsi="Times New Roman" w:eastAsia="宋体"/>
          <w:b/>
          <w:i w:val="false"/>
          <w:color w:val="004347"/>
          <w:sz w:val="22"/>
        </w:rPr>
        <w:t>核心职能：</w:t>
      </w:r>
      <w:r>
        <w:rPr>
          <w:rFonts w:ascii="宋体" w:hAnsi="Times New Roman" w:eastAsia="宋体"/>
          <w:b w:val="false"/>
          <w:i w:val="false"/>
          <w:color w:val="000000"/>
          <w:sz w:val="22"/>
        </w:rPr>
        <w:t xml:space="preserve"> 负责将底层的物理信号翻译为“虚拟状态机”，并基于此执行复杂的顺控算法。</w:t>
      </w:r>
    </w:p>
    <w:bookmarkEnd w:id="21"/>
    <w:bookmarkStart w:name="u6ab56fcb" w:id="22"/>
    <w:p>
      <w:pPr>
        <w:spacing w:after="50" w:line="360" w:lineRule="auto" w:beforeLines="100"/>
        <w:ind w:left="0"/>
        <w:jc w:val="left"/>
      </w:pPr>
      <w:bookmarkStart w:name="u4e6085c0" w:id="23"/>
      <w:r>
        <w:rPr>
          <w:rFonts w:eastAsia="宋体" w:ascii="宋体"/>
        </w:rPr>
        <w:drawing>
          <wp:inline distT="0" distB="0" distL="0" distR="0">
            <wp:extent cx="5842000" cy="3259826"/>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44670132" cy="24925860"/>
                    </a:xfrm>
                    <a:prstGeom prst="rect">
                      <a:avLst/>
                    </a:prstGeom>
                  </pic:spPr>
                </pic:pic>
              </a:graphicData>
            </a:graphic>
          </wp:inline>
        </w:drawing>
      </w:r>
      <w:bookmarkEnd w:id="23"/>
    </w:p>
    <w:bookmarkEnd w:id="22"/>
    <w:bookmarkStart w:name="xA7l2" w:id="24"/>
    <w:p>
      <w:pPr>
        <w:pStyle w:val="Heading3"/>
        <w:spacing w:after="50" w:line="360" w:lineRule="auto" w:beforeLines="100"/>
        <w:ind w:left="0"/>
        <w:jc w:val="left"/>
      </w:pPr>
      <w:r>
        <w:rPr>
          <w:rFonts w:ascii="宋体" w:hAnsi="Times New Roman" w:eastAsia="宋体"/>
          <w:color w:val="004347"/>
        </w:rPr>
        <w:t>2.2 智能化组件清单（以 32 面开关柜配置为例）</w:t>
      </w:r>
    </w:p>
    <w:bookmarkEnd w:id="24"/>
    <w:bookmarkStart w:name="u1a0fd878" w:id="25"/>
    <w:p>
      <w:pPr>
        <w:spacing w:after="50" w:line="360" w:lineRule="auto" w:beforeLines="100"/>
        <w:ind w:left="0"/>
        <w:jc w:val="left"/>
      </w:pPr>
      <w:bookmarkStart w:name="u7e95f651" w:id="26"/>
      <w:r>
        <w:rPr>
          <w:rFonts w:eastAsia="宋体" w:ascii="宋体"/>
        </w:rPr>
        <w:drawing>
          <wp:inline distT="0" distB="0" distL="0" distR="0">
            <wp:extent cx="5841999" cy="4519301"/>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5909734" cy="4571700"/>
                    </a:xfrm>
                    <a:prstGeom prst="rect">
                      <a:avLst/>
                    </a:prstGeom>
                  </pic:spPr>
                </pic:pic>
              </a:graphicData>
            </a:graphic>
          </wp:inline>
        </w:drawing>
      </w:r>
      <w:bookmarkEnd w:id="26"/>
    </w:p>
    <w:bookmarkEnd w:id="25"/>
    <w:bookmarkStart w:name="NeGgE" w:id="27"/>
    <w:p>
      <w:pPr>
        <w:pStyle w:val="Heading3"/>
        <w:spacing w:after="50" w:line="360" w:lineRule="auto" w:beforeLines="100"/>
        <w:ind w:left="0"/>
        <w:jc w:val="left"/>
      </w:pPr>
      <w:r>
        <w:rPr>
          <w:rFonts w:ascii="宋体" w:hAnsi="Times New Roman" w:eastAsia="宋体"/>
          <w:color w:val="004347"/>
        </w:rPr>
        <w:t>2.3 架构层级</w:t>
      </w:r>
    </w:p>
    <w:bookmarkEnd w:id="27"/>
    <w:bookmarkStart w:name="533b8c435a7651a359e234ad6ff08aa7" w:id="28"/>
    <w:p>
      <w:pPr>
        <w:numPr>
          <w:ilvl w:val="0"/>
          <w:numId w:val="3"/>
        </w:numPr>
        <w:spacing w:after="50" w:line="360" w:lineRule="auto" w:beforeLines="100"/>
        <w:ind w:left="360"/>
        <w:jc w:val="left"/>
      </w:pPr>
      <w:r>
        <w:rPr>
          <w:rFonts w:ascii="宋体" w:hAnsi="Times New Roman" w:eastAsia="宋体"/>
          <w:b/>
          <w:i w:val="false"/>
          <w:color w:val="004347"/>
          <w:sz w:val="22"/>
        </w:rPr>
        <w:t>感知层：</w:t>
      </w:r>
      <w:r>
        <w:rPr>
          <w:rFonts w:ascii="宋体" w:hAnsi="Times New Roman" w:eastAsia="宋体"/>
          <w:b w:val="false"/>
          <w:i w:val="false"/>
          <w:color w:val="000000"/>
          <w:sz w:val="22"/>
        </w:rPr>
        <w:t xml:space="preserve"> 温湿度、AI 摄像头、位移及霍尔传感器等物理传感单元。</w:t>
      </w:r>
    </w:p>
    <w:bookmarkEnd w:id="28"/>
    <w:bookmarkStart w:name="68a36a4b7bcb6b9e71435130ab74679a" w:id="29"/>
    <w:p>
      <w:pPr>
        <w:numPr>
          <w:ilvl w:val="0"/>
          <w:numId w:val="3"/>
        </w:numPr>
        <w:spacing w:after="50" w:line="360" w:lineRule="auto" w:beforeLines="100"/>
        <w:ind w:left="360"/>
        <w:jc w:val="left"/>
      </w:pPr>
      <w:r>
        <w:rPr>
          <w:rFonts w:ascii="宋体" w:hAnsi="Times New Roman" w:eastAsia="宋体"/>
          <w:b/>
          <w:i w:val="false"/>
          <w:color w:val="004347"/>
          <w:sz w:val="22"/>
        </w:rPr>
        <w:t>控制单元层（SR-IED）：</w:t>
      </w:r>
      <w:r>
        <w:rPr>
          <w:rFonts w:ascii="宋体" w:hAnsi="Times New Roman" w:eastAsia="宋体"/>
          <w:b w:val="false"/>
          <w:i w:val="false"/>
          <w:color w:val="004347"/>
          <w:sz w:val="22"/>
        </w:rPr>
        <w:t xml:space="preserve"> </w:t>
      </w:r>
      <w:r>
        <w:rPr>
          <w:rFonts w:ascii="宋体" w:hAnsi="Times New Roman" w:eastAsia="宋体"/>
          <w:b w:val="false"/>
          <w:i w:val="false"/>
          <w:color w:val="000000"/>
          <w:sz w:val="22"/>
        </w:rPr>
        <w:t>负责边缘计算、逻辑判别及电机驱动指令下达。</w:t>
      </w:r>
    </w:p>
    <w:bookmarkEnd w:id="29"/>
    <w:bookmarkStart w:name="f75dddb1d49c9c24f10bcc8eab34ac01" w:id="30"/>
    <w:p>
      <w:pPr>
        <w:numPr>
          <w:ilvl w:val="0"/>
          <w:numId w:val="3"/>
        </w:numPr>
        <w:spacing w:after="50" w:line="360" w:lineRule="auto" w:beforeLines="100"/>
        <w:ind w:left="360"/>
        <w:jc w:val="left"/>
      </w:pPr>
      <w:r>
        <w:rPr>
          <w:rFonts w:ascii="宋体" w:hAnsi="Times New Roman" w:eastAsia="宋体"/>
          <w:b/>
          <w:i w:val="false"/>
          <w:color w:val="004347"/>
          <w:sz w:val="22"/>
        </w:rPr>
        <w:t>本地交互层（HMI）：</w:t>
      </w:r>
      <w:r>
        <w:rPr>
          <w:rFonts w:ascii="宋体" w:hAnsi="Times New Roman" w:eastAsia="宋体"/>
          <w:b w:val="false"/>
          <w:i w:val="false"/>
          <w:color w:val="000000"/>
          <w:sz w:val="22"/>
        </w:rPr>
        <w:t xml:space="preserve"> 实现就地监控与操作逻辑呈现。</w:t>
      </w:r>
    </w:p>
    <w:bookmarkEnd w:id="30"/>
    <w:bookmarkStart w:name="a4f9e51d996e28e2419040c62fa899f9" w:id="31"/>
    <w:p>
      <w:pPr>
        <w:numPr>
          <w:ilvl w:val="0"/>
          <w:numId w:val="3"/>
        </w:numPr>
        <w:spacing w:after="50" w:line="360" w:lineRule="auto" w:beforeLines="100"/>
        <w:ind w:left="360"/>
        <w:jc w:val="left"/>
      </w:pPr>
      <w:r>
        <w:rPr>
          <w:rFonts w:ascii="宋体" w:hAnsi="Times New Roman" w:eastAsia="宋体"/>
          <w:b/>
          <w:i w:val="false"/>
          <w:color w:val="004347"/>
          <w:sz w:val="22"/>
        </w:rPr>
        <w:t>站控/云端层：</w:t>
      </w:r>
      <w:r>
        <w:rPr>
          <w:rFonts w:ascii="宋体" w:hAnsi="Times New Roman" w:eastAsia="宋体"/>
          <w:b w:val="false"/>
          <w:i w:val="false"/>
          <w:color w:val="000000"/>
          <w:sz w:val="22"/>
        </w:rPr>
        <w:t xml:space="preserve"> 通过以太网或 4G 联网，实现网架级的集中协同。</w:t>
      </w:r>
    </w:p>
    <w:bookmarkEnd w:id="31"/>
    <w:bookmarkStart w:name="5uh7v" w:id="32"/>
    <w:p>
      <w:pPr>
        <w:pStyle w:val="Heading2"/>
        <w:spacing w:after="50" w:line="360" w:lineRule="auto" w:beforeLines="100"/>
        <w:ind w:left="0"/>
        <w:jc w:val="left"/>
      </w:pPr>
      <w:bookmarkStart w:name="rolsV" w:id="33"/>
      <w:r>
        <w:rPr>
          <w:rFonts w:eastAsia="宋体" w:ascii="宋体"/>
        </w:rPr>
        <w:drawing>
          <wp:inline distT="0" distB="0" distL="0" distR="0">
            <wp:extent cx="5842000" cy="1343588"/>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
                    <a:stretch>
                      <a:fillRect/>
                    </a:stretch>
                  </pic:blipFill>
                  <pic:spPr>
                    <a:xfrm>
                      <a:off x="0" y="0"/>
                      <a:ext cx="17542933" cy="4034660"/>
                    </a:xfrm>
                    <a:prstGeom prst="rect">
                      <a:avLst/>
                    </a:prstGeom>
                  </pic:spPr>
                </pic:pic>
              </a:graphicData>
            </a:graphic>
          </wp:inline>
        </w:drawing>
      </w:r>
      <w:bookmarkEnd w:id="33"/>
    </w:p>
    <w:bookmarkEnd w:id="32"/>
    <w:bookmarkStart w:name="74cfdd110df5e38d1d34d811df40574e" w:id="34"/>
    <w:p>
      <w:pPr>
        <w:spacing w:after="50" w:line="360" w:lineRule="auto" w:beforeLines="100"/>
        <w:ind w:left="0"/>
        <w:jc w:val="left"/>
      </w:pPr>
      <w:r>
        <w:rPr>
          <w:rFonts w:ascii="宋体" w:hAnsi="Times New Roman" w:eastAsia="宋体"/>
          <w:b w:val="false"/>
          <w:i w:val="false"/>
          <w:color w:val="000000"/>
          <w:sz w:val="22"/>
        </w:rPr>
        <w:t>一键顺控的可靠性建立在严密的底层逻辑算法之上。系统通过对物理信号的“去抖”处理与状态固化，确保每步操作路径的绝对可靠。</w:t>
      </w:r>
    </w:p>
    <w:bookmarkEnd w:id="34"/>
    <w:bookmarkStart w:name="obNlw" w:id="35"/>
    <w:p>
      <w:pPr>
        <w:pStyle w:val="Heading3"/>
        <w:spacing w:after="50" w:line="360" w:lineRule="auto" w:beforeLines="100"/>
        <w:ind w:left="0"/>
        <w:jc w:val="left"/>
      </w:pPr>
      <w:r>
        <w:rPr>
          <w:rFonts w:ascii="宋体" w:hAnsi="Times New Roman" w:eastAsia="宋体"/>
          <w:color w:val="004347"/>
        </w:rPr>
        <w:t>3.1 基于规范的四个核心状态定义</w:t>
      </w:r>
    </w:p>
    <w:bookmarkEnd w:id="35"/>
    <w:bookmarkStart w:name="44ef7ab2a9c184685da8d7d0ef15ecbb" w:id="36"/>
    <w:p>
      <w:pPr>
        <w:spacing w:after="50" w:line="360" w:lineRule="auto" w:beforeLines="100"/>
        <w:ind w:left="0"/>
        <w:jc w:val="left"/>
      </w:pPr>
      <w:r>
        <w:rPr>
          <w:rFonts w:ascii="宋体" w:hAnsi="Times New Roman" w:eastAsia="宋体"/>
          <w:b w:val="false"/>
          <w:i w:val="false"/>
          <w:color w:val="000000"/>
          <w:sz w:val="22"/>
        </w:rPr>
        <w:t>系统根据断路器、底盘车（手车）、接地刀的位置组合，精准定义以下四种状态：</w:t>
      </w:r>
    </w:p>
    <w:bookmarkEnd w:id="36"/>
    <w:bookmarkStart w:name="ea2b86d4be3a38996d29cbae16d4fbce" w:id="37"/>
    <w:p>
      <w:pPr>
        <w:numPr>
          <w:ilvl w:val="0"/>
          <w:numId w:val="4"/>
        </w:numPr>
        <w:spacing w:after="50" w:line="360" w:lineRule="auto" w:beforeLines="100"/>
        <w:ind w:left="360"/>
        <w:jc w:val="left"/>
      </w:pPr>
      <w:r>
        <w:rPr>
          <w:rFonts w:ascii="宋体" w:hAnsi="Times New Roman" w:eastAsia="宋体"/>
          <w:b/>
          <w:i w:val="false"/>
          <w:color w:val="004347"/>
          <w:sz w:val="22"/>
        </w:rPr>
        <w:t>运行态：</w:t>
      </w:r>
      <w:r>
        <w:rPr>
          <w:rFonts w:ascii="宋体" w:hAnsi="Times New Roman" w:eastAsia="宋体"/>
          <w:b w:val="false"/>
          <w:i w:val="false"/>
          <w:color w:val="000000"/>
          <w:sz w:val="22"/>
        </w:rPr>
        <w:t xml:space="preserve"> 断路器在合位、手车在工作位置、接地刀在分位。</w:t>
      </w:r>
    </w:p>
    <w:bookmarkEnd w:id="37"/>
    <w:bookmarkStart w:name="6d1c5e82b4d75fee3656889aea825367" w:id="38"/>
    <w:p>
      <w:pPr>
        <w:numPr>
          <w:ilvl w:val="0"/>
          <w:numId w:val="4"/>
        </w:numPr>
        <w:spacing w:after="50" w:line="360" w:lineRule="auto" w:beforeLines="100"/>
        <w:ind w:left="360"/>
        <w:jc w:val="left"/>
      </w:pPr>
      <w:r>
        <w:rPr>
          <w:rFonts w:ascii="宋体" w:hAnsi="Times New Roman" w:eastAsia="宋体"/>
          <w:b/>
          <w:i w:val="false"/>
          <w:color w:val="004347"/>
          <w:sz w:val="22"/>
        </w:rPr>
        <w:t>热备态：</w:t>
      </w:r>
      <w:r>
        <w:rPr>
          <w:rFonts w:ascii="宋体" w:hAnsi="Times New Roman" w:eastAsia="宋体"/>
          <w:b w:val="false"/>
          <w:i w:val="false"/>
          <w:color w:val="000000"/>
          <w:sz w:val="22"/>
        </w:rPr>
        <w:t xml:space="preserve"> 断路器在分位、手车在工作位置、接地刀在分位。</w:t>
      </w:r>
    </w:p>
    <w:bookmarkEnd w:id="38"/>
    <w:bookmarkStart w:name="22bcb5f13b1fa1911187b010de74a36a" w:id="39"/>
    <w:p>
      <w:pPr>
        <w:numPr>
          <w:ilvl w:val="0"/>
          <w:numId w:val="4"/>
        </w:numPr>
        <w:spacing w:after="50" w:line="360" w:lineRule="auto" w:beforeLines="100"/>
        <w:ind w:left="360"/>
        <w:jc w:val="left"/>
      </w:pPr>
      <w:r>
        <w:rPr>
          <w:rFonts w:ascii="宋体" w:hAnsi="Times New Roman" w:eastAsia="宋体"/>
          <w:b/>
          <w:i w:val="false"/>
          <w:color w:val="004347"/>
          <w:sz w:val="22"/>
        </w:rPr>
        <w:t>冷备态：</w:t>
      </w:r>
      <w:r>
        <w:rPr>
          <w:rFonts w:ascii="宋体" w:hAnsi="Times New Roman" w:eastAsia="宋体"/>
          <w:b w:val="false"/>
          <w:i w:val="false"/>
          <w:color w:val="000000"/>
          <w:sz w:val="22"/>
        </w:rPr>
        <w:t xml:space="preserve"> 断路器在分位、手车在试验位置、接地刀在分位。</w:t>
      </w:r>
    </w:p>
    <w:bookmarkEnd w:id="39"/>
    <w:bookmarkStart w:name="4cc4b4ac2ed28c14fd61b3d647c990f6" w:id="40"/>
    <w:p>
      <w:pPr>
        <w:numPr>
          <w:ilvl w:val="0"/>
          <w:numId w:val="4"/>
        </w:numPr>
        <w:spacing w:after="50" w:line="360" w:lineRule="auto" w:beforeLines="100"/>
        <w:ind w:left="360"/>
        <w:jc w:val="left"/>
      </w:pPr>
      <w:r>
        <w:rPr>
          <w:rFonts w:ascii="宋体" w:hAnsi="Times New Roman" w:eastAsia="宋体"/>
          <w:b/>
          <w:i w:val="false"/>
          <w:color w:val="004347"/>
          <w:sz w:val="22"/>
        </w:rPr>
        <w:t>检修态：</w:t>
      </w:r>
      <w:r>
        <w:rPr>
          <w:rFonts w:ascii="宋体" w:hAnsi="Times New Roman" w:eastAsia="宋体"/>
          <w:b w:val="false"/>
          <w:i w:val="false"/>
          <w:color w:val="000000"/>
          <w:sz w:val="22"/>
        </w:rPr>
        <w:t xml:space="preserve"> 断路器在分位、手车在试验位置、接地刀在合位。</w:t>
      </w:r>
    </w:p>
    <w:bookmarkEnd w:id="40"/>
    <w:bookmarkStart w:name="u144d74e6" w:id="41"/>
    <w:p>
      <w:pPr>
        <w:spacing w:after="50" w:line="360" w:lineRule="auto" w:beforeLines="100"/>
        <w:ind w:left="0"/>
        <w:jc w:val="left"/>
      </w:pPr>
      <w:bookmarkStart w:name="u357bbf96" w:id="42"/>
      <w:r>
        <w:rPr>
          <w:rFonts w:eastAsia="宋体" w:ascii="宋体"/>
        </w:rPr>
        <w:drawing>
          <wp:inline distT="0" distB="0" distL="0" distR="0">
            <wp:extent cx="5842000" cy="3335767"/>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
                    <a:stretch>
                      <a:fillRect/>
                    </a:stretch>
                  </pic:blipFill>
                  <pic:spPr>
                    <a:xfrm>
                      <a:off x="0" y="0"/>
                      <a:ext cx="44653200" cy="25496863"/>
                    </a:xfrm>
                    <a:prstGeom prst="rect">
                      <a:avLst/>
                    </a:prstGeom>
                  </pic:spPr>
                </pic:pic>
              </a:graphicData>
            </a:graphic>
          </wp:inline>
        </w:drawing>
      </w:r>
      <w:bookmarkEnd w:id="42"/>
    </w:p>
    <w:bookmarkEnd w:id="41"/>
    <w:bookmarkStart w:name="zCkC4" w:id="43"/>
    <w:p>
      <w:pPr>
        <w:pStyle w:val="Heading3"/>
        <w:spacing w:after="50" w:line="360" w:lineRule="auto" w:beforeLines="100"/>
        <w:ind w:left="0"/>
        <w:jc w:val="left"/>
      </w:pPr>
      <w:r>
        <w:rPr>
          <w:rFonts w:ascii="宋体" w:hAnsi="Times New Roman" w:eastAsia="宋体"/>
          <w:color w:val="004347"/>
        </w:rPr>
        <w:t>3.2 Tcd（状态确认充电时间）算法</w:t>
      </w:r>
    </w:p>
    <w:bookmarkEnd w:id="43"/>
    <w:bookmarkStart w:name="d5729e74318e3f17d1c68b298b458255" w:id="44"/>
    <w:p>
      <w:pPr>
        <w:spacing w:after="50" w:line="360" w:lineRule="auto" w:beforeLines="100"/>
        <w:ind w:left="0"/>
        <w:jc w:val="left"/>
      </w:pPr>
      <w:r>
        <w:rPr>
          <w:rFonts w:ascii="宋体" w:hAnsi="Times New Roman" w:eastAsia="宋体"/>
          <w:b w:val="false"/>
          <w:i w:val="false"/>
          <w:color w:val="000000"/>
          <w:sz w:val="22"/>
        </w:rPr>
        <w:t>为规避由于机械振动、电磁干扰（EMI）或信号瞬变导致的虚假位判定，系统引入了</w:t>
      </w:r>
      <w:r>
        <w:rPr>
          <w:rFonts w:ascii="宋体" w:hAnsi="Times New Roman" w:eastAsia="宋体"/>
          <w:b w:val="false"/>
          <w:i w:val="false"/>
          <w:color w:val="004347"/>
          <w:sz w:val="22"/>
        </w:rPr>
        <w:t xml:space="preserve"> </w:t>
      </w:r>
      <w:r>
        <w:rPr>
          <w:rFonts w:ascii="宋体" w:hAnsi="Times New Roman" w:eastAsia="宋体"/>
          <w:b/>
          <w:i w:val="false"/>
          <w:color w:val="004347"/>
          <w:sz w:val="22"/>
        </w:rPr>
        <w:t>Tcd（状态充电时间）算法</w:t>
      </w:r>
      <w:r>
        <w:rPr>
          <w:rFonts w:ascii="宋体" w:hAnsi="Times New Roman" w:eastAsia="宋体"/>
          <w:b w:val="false"/>
          <w:i w:val="false"/>
          <w:color w:val="000000"/>
          <w:sz w:val="22"/>
        </w:rPr>
        <w:t>：</w:t>
      </w:r>
    </w:p>
    <w:bookmarkEnd w:id="44"/>
    <w:bookmarkStart w:name="bb75ee300d240fa6d4df619e2407da42" w:id="45"/>
    <w:p>
      <w:pPr>
        <w:numPr>
          <w:ilvl w:val="0"/>
          <w:numId w:val="5"/>
        </w:numPr>
        <w:spacing w:after="50" w:line="360" w:lineRule="auto" w:beforeLines="100"/>
        <w:ind w:left="360"/>
        <w:jc w:val="left"/>
      </w:pPr>
      <w:r>
        <w:rPr>
          <w:rFonts w:ascii="宋体" w:hAnsi="Times New Roman" w:eastAsia="宋体"/>
          <w:b/>
          <w:i w:val="false"/>
          <w:color w:val="004347"/>
          <w:sz w:val="22"/>
        </w:rPr>
        <w:t>逻辑原理：</w:t>
      </w:r>
      <w:r>
        <w:rPr>
          <w:rFonts w:ascii="宋体" w:hAnsi="Times New Roman" w:eastAsia="宋体"/>
          <w:b w:val="false"/>
          <w:i w:val="false"/>
          <w:color w:val="000000"/>
          <w:sz w:val="22"/>
        </w:rPr>
        <w:t xml:space="preserve"> 当传感器检测到位置变化并满足特定状态判据后，系统不立即确认，而是启动计时。只有当该信号持续稳定达到 </w:t>
      </w:r>
      <w:r>
        <w:rPr>
          <w:rFonts w:ascii="宋体" w:hAnsi="Times New Roman" w:eastAsia="宋体"/>
          <w:b/>
          <w:i w:val="false"/>
          <w:color w:val="004347"/>
          <w:sz w:val="22"/>
        </w:rPr>
        <w:t>5 秒（Tcd=5s）</w:t>
      </w:r>
      <w:r>
        <w:rPr>
          <w:rFonts w:ascii="宋体" w:hAnsi="Times New Roman" w:eastAsia="宋体"/>
          <w:b w:val="false"/>
          <w:i w:val="false"/>
          <w:color w:val="000000"/>
          <w:sz w:val="22"/>
        </w:rPr>
        <w:t xml:space="preserve"> 后，状态机才正式更新。</w:t>
      </w:r>
    </w:p>
    <w:bookmarkEnd w:id="45"/>
    <w:bookmarkStart w:name="27b6bf72b3808305529385b3debe7e59" w:id="46"/>
    <w:p>
      <w:pPr>
        <w:numPr>
          <w:ilvl w:val="0"/>
          <w:numId w:val="5"/>
        </w:numPr>
        <w:spacing w:after="50" w:line="360" w:lineRule="auto" w:beforeLines="100"/>
        <w:ind w:left="360"/>
        <w:jc w:val="left"/>
      </w:pPr>
      <w:r>
        <w:rPr>
          <w:rFonts w:ascii="宋体" w:hAnsi="Times New Roman" w:eastAsia="宋体"/>
          <w:b/>
          <w:i w:val="false"/>
          <w:color w:val="004347"/>
          <w:sz w:val="22"/>
        </w:rPr>
        <w:t>意义：</w:t>
      </w:r>
      <w:r>
        <w:rPr>
          <w:rFonts w:ascii="宋体" w:hAnsi="Times New Roman" w:eastAsia="宋体"/>
          <w:b w:val="false"/>
          <w:i w:val="false"/>
          <w:color w:val="000000"/>
          <w:sz w:val="22"/>
        </w:rPr>
        <w:t xml:space="preserve"> 这一算法充当了物理信号与数字逻辑之间的“缓冲器”，是防止误操作逻辑触发的核心屏障。</w:t>
      </w:r>
    </w:p>
    <w:bookmarkEnd w:id="46"/>
    <w:bookmarkStart w:name="KM3k9" w:id="47"/>
    <w:p>
      <w:pPr>
        <w:pStyle w:val="Heading3"/>
        <w:spacing w:after="50" w:line="360" w:lineRule="auto" w:beforeLines="100"/>
        <w:ind w:left="0"/>
        <w:jc w:val="left"/>
      </w:pPr>
      <w:r>
        <w:rPr>
          <w:rFonts w:ascii="宋体" w:hAnsi="Times New Roman" w:eastAsia="宋体"/>
          <w:color w:val="004347"/>
        </w:rPr>
        <w:t>3.3 操作流程的自动补全与防误</w:t>
      </w:r>
    </w:p>
    <w:bookmarkEnd w:id="47"/>
    <w:bookmarkStart w:name="d94d80c77d245d8d5b905b229d498b1d" w:id="48"/>
    <w:p>
      <w:pPr>
        <w:spacing w:after="50" w:line="360" w:lineRule="auto" w:beforeLines="100"/>
        <w:ind w:left="0"/>
        <w:jc w:val="left"/>
      </w:pPr>
      <w:r>
        <w:rPr>
          <w:rFonts w:ascii="宋体" w:hAnsi="Times New Roman" w:eastAsia="宋体"/>
          <w:b w:val="false"/>
          <w:i w:val="false"/>
          <w:color w:val="000000"/>
          <w:sz w:val="22"/>
        </w:rPr>
        <w:t>系统接收目标指令（如“转检修”）后，会自动执行“无缝切换”逻辑：检测当前状态（如“运行态”），自动补全中间步骤（分闸 -&gt; 摇出手车 -&gt; 合接地刀）。每步操作前均强制经过“五防”闭锁校核，不满足条件则立即终止。</w:t>
      </w:r>
    </w:p>
    <w:bookmarkEnd w:id="48"/>
    <w:bookmarkStart w:name="ue7ed1c69" w:id="49"/>
    <w:p>
      <w:pPr>
        <w:spacing w:after="50" w:line="360" w:lineRule="auto" w:beforeLines="100"/>
        <w:ind w:left="0"/>
        <w:jc w:val="left"/>
      </w:pPr>
      <w:bookmarkStart w:name="u8c0b3bf4" w:id="50"/>
      <w:r>
        <w:rPr>
          <w:rFonts w:eastAsia="宋体" w:ascii="宋体"/>
        </w:rPr>
        <w:drawing>
          <wp:inline distT="0" distB="0" distL="0" distR="0">
            <wp:extent cx="5842000" cy="3259826"/>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44670132" cy="24925860"/>
                    </a:xfrm>
                    <a:prstGeom prst="rect">
                      <a:avLst/>
                    </a:prstGeom>
                  </pic:spPr>
                </pic:pic>
              </a:graphicData>
            </a:graphic>
          </wp:inline>
        </w:drawing>
      </w:r>
      <w:bookmarkEnd w:id="50"/>
    </w:p>
    <w:bookmarkEnd w:id="49"/>
    <w:bookmarkStart w:name="8bbO2" w:id="51"/>
    <w:p>
      <w:pPr>
        <w:pStyle w:val="Heading2"/>
        <w:spacing w:after="50" w:line="360" w:lineRule="auto" w:beforeLines="100"/>
        <w:ind w:left="0"/>
        <w:jc w:val="left"/>
      </w:pPr>
      <w:bookmarkStart w:name="tKGcz" w:id="52"/>
      <w:r>
        <w:rPr>
          <w:rFonts w:eastAsia="宋体" w:ascii="宋体"/>
        </w:rPr>
        <w:drawing>
          <wp:inline distT="0" distB="0" distL="0" distR="0">
            <wp:extent cx="5842000" cy="1372859"/>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
                    <a:stretch>
                      <a:fillRect/>
                    </a:stretch>
                  </pic:blipFill>
                  <pic:spPr>
                    <a:xfrm>
                      <a:off x="0" y="0"/>
                      <a:ext cx="17238133" cy="4050930"/>
                    </a:xfrm>
                    <a:prstGeom prst="rect">
                      <a:avLst/>
                    </a:prstGeom>
                  </pic:spPr>
                </pic:pic>
              </a:graphicData>
            </a:graphic>
          </wp:inline>
        </w:drawing>
      </w:r>
      <w:bookmarkEnd w:id="52"/>
    </w:p>
    <w:bookmarkEnd w:id="51"/>
    <w:bookmarkStart w:name="d707f2f18d12f83226a136cda38f6826" w:id="53"/>
    <w:p>
      <w:pPr>
        <w:spacing w:after="50" w:line="360" w:lineRule="auto" w:beforeLines="100"/>
        <w:ind w:left="0"/>
        <w:jc w:val="left"/>
      </w:pPr>
      <w:r>
        <w:rPr>
          <w:rFonts w:ascii="宋体" w:hAnsi="Times New Roman" w:eastAsia="宋体"/>
          <w:b w:val="false"/>
          <w:i w:val="false"/>
          <w:color w:val="000000"/>
          <w:sz w:val="22"/>
        </w:rPr>
        <w:t>SR-MOTO 模块在一键顺控中扮演了“精密执行者”的角色，其控制深度不仅限于动作，更在于对机械机构的闭环保护。</w:t>
      </w:r>
    </w:p>
    <w:bookmarkEnd w:id="53"/>
    <w:bookmarkStart w:name="6cbff00e09c7db398a525f7ae741b877" w:id="54"/>
    <w:p>
      <w:pPr>
        <w:numPr>
          <w:ilvl w:val="0"/>
          <w:numId w:val="6"/>
        </w:numPr>
        <w:spacing w:after="50" w:line="360" w:lineRule="auto" w:beforeLines="100"/>
        <w:ind w:left="360"/>
        <w:jc w:val="left"/>
      </w:pPr>
      <w:r>
        <w:rPr>
          <w:rFonts w:ascii="宋体" w:hAnsi="Times New Roman" w:eastAsia="宋体"/>
          <w:b/>
          <w:i w:val="false"/>
          <w:color w:val="004347"/>
          <w:sz w:val="22"/>
        </w:rPr>
        <w:t>智能集成控制：</w:t>
      </w:r>
      <w:r>
        <w:rPr>
          <w:rFonts w:ascii="宋体" w:hAnsi="Times New Roman" w:eastAsia="宋体"/>
          <w:b w:val="false"/>
          <w:i w:val="false"/>
          <w:color w:val="000000"/>
          <w:sz w:val="22"/>
        </w:rPr>
        <w:t xml:space="preserve"> 系统通过 SR-IED 集成电机控制逻辑，实现对底盘车和接地刀电机的软启动与软停止，有效缓冲机械冲击。</w:t>
      </w:r>
    </w:p>
    <w:bookmarkEnd w:id="54"/>
    <w:bookmarkStart w:name="2bab8d758a3883418eb190086062df1b" w:id="55"/>
    <w:p>
      <w:pPr>
        <w:numPr>
          <w:ilvl w:val="0"/>
          <w:numId w:val="6"/>
        </w:numPr>
        <w:spacing w:after="50" w:line="360" w:lineRule="auto" w:beforeLines="100"/>
        <w:ind w:left="360"/>
        <w:jc w:val="left"/>
      </w:pPr>
      <w:r>
        <w:rPr>
          <w:rFonts w:ascii="宋体" w:hAnsi="Times New Roman" w:eastAsia="宋体"/>
          <w:b/>
          <w:i w:val="false"/>
          <w:color w:val="004347"/>
          <w:sz w:val="22"/>
        </w:rPr>
        <w:t>堵转识别与自动反转逻辑：</w:t>
      </w:r>
      <w:r>
        <w:rPr>
          <w:rFonts w:ascii="宋体" w:hAnsi="Times New Roman" w:eastAsia="宋体"/>
          <w:b w:val="false"/>
          <w:i w:val="false"/>
          <w:color w:val="000000"/>
          <w:sz w:val="22"/>
        </w:rPr>
        <w:t xml:space="preserve"> 这是系统防止机构损坏的关键自愈机制。在手车摇进/摇出过程中，若监测到电机电流异常，系统判定为机械堵转，将立即执行“停止并反转退回初始位置”。若退回过程再次堵转，则强制停止并触发告警。</w:t>
      </w:r>
    </w:p>
    <w:bookmarkEnd w:id="55"/>
    <w:bookmarkStart w:name="8279e3bee22f5a2036598efa6b8da557" w:id="56"/>
    <w:p>
      <w:pPr>
        <w:numPr>
          <w:ilvl w:val="0"/>
          <w:numId w:val="6"/>
        </w:numPr>
        <w:spacing w:after="50" w:line="360" w:lineRule="auto" w:beforeLines="100"/>
        <w:ind w:left="360"/>
        <w:jc w:val="left"/>
      </w:pPr>
      <w:r>
        <w:rPr>
          <w:rFonts w:ascii="宋体" w:hAnsi="Times New Roman" w:eastAsia="宋体"/>
          <w:b/>
          <w:i w:val="false"/>
          <w:color w:val="004347"/>
          <w:sz w:val="22"/>
        </w:rPr>
        <w:t>T1-T7 时间参数管理：</w:t>
      </w:r>
      <w:r>
        <w:rPr>
          <w:rFonts w:ascii="宋体" w:hAnsi="Times New Roman" w:eastAsia="宋体"/>
          <w:b w:val="false"/>
          <w:i w:val="false"/>
          <w:color w:val="000000"/>
          <w:sz w:val="22"/>
        </w:rPr>
        <w:t xml:space="preserve"> 架构设计中预留了 T1 至 T7 系列时间定值，通过对操作过程各阶段的精准限时（超时保护），确保电机不会在异常负载下长时间带电，保障电气安全性。</w:t>
      </w:r>
    </w:p>
    <w:bookmarkEnd w:id="56"/>
    <w:bookmarkStart w:name="ua8023509" w:id="57"/>
    <w:p>
      <w:pPr>
        <w:spacing w:after="50" w:line="360" w:lineRule="auto" w:beforeLines="100"/>
        <w:ind w:left="0"/>
        <w:jc w:val="left"/>
      </w:pPr>
      <w:bookmarkStart w:name="ud3ed45b0" w:id="58"/>
      <w:r>
        <w:rPr>
          <w:rFonts w:eastAsia="宋体" w:ascii="宋体"/>
        </w:rPr>
        <w:drawing>
          <wp:inline distT="0" distB="0" distL="0" distR="0">
            <wp:extent cx="5842000" cy="3259821"/>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
                    <a:stretch>
                      <a:fillRect/>
                    </a:stretch>
                  </pic:blipFill>
                  <pic:spPr>
                    <a:xfrm>
                      <a:off x="0" y="0"/>
                      <a:ext cx="44653200" cy="24916374"/>
                    </a:xfrm>
                    <a:prstGeom prst="rect">
                      <a:avLst/>
                    </a:prstGeom>
                  </pic:spPr>
                </pic:pic>
              </a:graphicData>
            </a:graphic>
          </wp:inline>
        </w:drawing>
      </w:r>
      <w:bookmarkEnd w:id="58"/>
    </w:p>
    <w:bookmarkEnd w:id="57"/>
    <w:bookmarkStart w:name="QjJ7H" w:id="59"/>
    <w:p>
      <w:pPr>
        <w:pStyle w:val="Heading2"/>
        <w:spacing w:after="50" w:line="360" w:lineRule="auto" w:beforeLines="100"/>
        <w:ind w:left="0"/>
        <w:jc w:val="left"/>
      </w:pPr>
      <w:bookmarkStart w:name="TmXuv" w:id="60"/>
      <w:r>
        <w:rPr>
          <w:rFonts w:eastAsia="宋体" w:ascii="宋体"/>
        </w:rPr>
        <w:drawing>
          <wp:inline distT="0" distB="0" distL="0" distR="0">
            <wp:extent cx="5842000" cy="1372859"/>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
                    <a:stretch>
                      <a:fillRect/>
                    </a:stretch>
                  </pic:blipFill>
                  <pic:spPr>
                    <a:xfrm>
                      <a:off x="0" y="0"/>
                      <a:ext cx="17238133" cy="4050930"/>
                    </a:xfrm>
                    <a:prstGeom prst="rect">
                      <a:avLst/>
                    </a:prstGeom>
                  </pic:spPr>
                </pic:pic>
              </a:graphicData>
            </a:graphic>
          </wp:inline>
        </w:drawing>
      </w:r>
      <w:bookmarkEnd w:id="60"/>
    </w:p>
    <w:bookmarkEnd w:id="59"/>
    <w:bookmarkStart w:name="a842c9237d84b136f03502eca15823aa" w:id="61"/>
    <w:p>
      <w:pPr>
        <w:spacing w:after="50" w:line="360" w:lineRule="auto" w:beforeLines="100"/>
        <w:ind w:left="0"/>
        <w:jc w:val="left"/>
      </w:pPr>
      <w:r>
        <w:rPr>
          <w:rFonts w:ascii="宋体" w:hAnsi="Times New Roman" w:eastAsia="宋体"/>
          <w:b w:val="false"/>
          <w:i w:val="false"/>
          <w:color w:val="000000"/>
          <w:sz w:val="22"/>
        </w:rPr>
        <w:t>为了消除传统电气接点可能存在的“信号虚假位置”（如触头卡涩但辅助开关机动作），本系统引入了基于 AI 的“双辅助判据”体系。</w:t>
      </w:r>
    </w:p>
    <w:bookmarkEnd w:id="61"/>
    <w:bookmarkStart w:name="6tvbX" w:id="62"/>
    <w:p>
      <w:pPr>
        <w:pStyle w:val="Heading3"/>
        <w:spacing w:after="50" w:line="360" w:lineRule="auto" w:beforeLines="100"/>
        <w:ind w:left="0"/>
        <w:jc w:val="left"/>
      </w:pPr>
      <w:r>
        <w:rPr>
          <w:rFonts w:ascii="宋体" w:hAnsi="Times New Roman" w:eastAsia="宋体"/>
          <w:color w:val="004347"/>
        </w:rPr>
        <w:t>5.1 逻辑-图像协同（Logic-Image Synergy）</w:t>
      </w:r>
    </w:p>
    <w:bookmarkEnd w:id="62"/>
    <w:bookmarkStart w:name="6dcc01903d4704d40abd7e7a24d8263b" w:id="63"/>
    <w:p>
      <w:pPr>
        <w:numPr>
          <w:ilvl w:val="0"/>
          <w:numId w:val="7"/>
        </w:numPr>
        <w:spacing w:after="50" w:line="360" w:lineRule="auto" w:beforeLines="100"/>
        <w:ind w:left="360"/>
        <w:jc w:val="left"/>
      </w:pPr>
      <w:r>
        <w:rPr>
          <w:rFonts w:ascii="宋体" w:hAnsi="Times New Roman" w:eastAsia="宋体"/>
          <w:b/>
          <w:i w:val="false"/>
          <w:color w:val="004347"/>
          <w:sz w:val="22"/>
        </w:rPr>
        <w:t>第一判据：</w:t>
      </w:r>
      <w:r>
        <w:rPr>
          <w:rFonts w:ascii="宋体" w:hAnsi="Times New Roman" w:eastAsia="宋体"/>
          <w:b w:val="false"/>
          <w:i w:val="false"/>
          <w:color w:val="000000"/>
          <w:sz w:val="22"/>
        </w:rPr>
        <w:t xml:space="preserve"> 来自限位开关、行程开关的物理电信号。</w:t>
      </w:r>
    </w:p>
    <w:bookmarkEnd w:id="63"/>
    <w:bookmarkStart w:name="0f3b0c03662fcf3bc9a1bd039f03210e" w:id="64"/>
    <w:p>
      <w:pPr>
        <w:numPr>
          <w:ilvl w:val="0"/>
          <w:numId w:val="7"/>
        </w:numPr>
        <w:spacing w:after="50" w:line="360" w:lineRule="auto" w:beforeLines="100"/>
        <w:ind w:left="360"/>
        <w:jc w:val="left"/>
      </w:pPr>
      <w:r>
        <w:rPr>
          <w:rFonts w:ascii="宋体" w:hAnsi="Times New Roman" w:eastAsia="宋体"/>
          <w:b/>
          <w:i w:val="false"/>
          <w:color w:val="004347"/>
          <w:sz w:val="22"/>
        </w:rPr>
        <w:t>第二判据：</w:t>
      </w:r>
      <w:r>
        <w:rPr>
          <w:rFonts w:ascii="宋体" w:hAnsi="Times New Roman" w:eastAsia="宋体"/>
          <w:b w:val="false"/>
          <w:i w:val="false"/>
          <w:color w:val="004347"/>
          <w:sz w:val="22"/>
        </w:rPr>
        <w:t xml:space="preserve"> </w:t>
      </w:r>
      <w:r>
        <w:rPr>
          <w:rFonts w:ascii="宋体" w:hAnsi="Times New Roman" w:eastAsia="宋体"/>
          <w:b/>
          <w:i w:val="false"/>
          <w:color w:val="004347"/>
          <w:sz w:val="22"/>
        </w:rPr>
        <w:t>SR-2010S</w:t>
      </w:r>
      <w:r>
        <w:rPr>
          <w:rFonts w:ascii="宋体" w:hAnsi="Times New Roman" w:eastAsia="宋体"/>
          <w:b w:val="false"/>
          <w:i w:val="false"/>
          <w:color w:val="004347"/>
          <w:sz w:val="22"/>
        </w:rPr>
        <w:t xml:space="preserve"> </w:t>
      </w:r>
      <w:r>
        <w:rPr>
          <w:rFonts w:ascii="宋体" w:hAnsi="Times New Roman" w:eastAsia="宋体"/>
          <w:b w:val="false"/>
          <w:i w:val="false"/>
          <w:color w:val="000000"/>
          <w:sz w:val="22"/>
        </w:rPr>
        <w:t>摄像头的实时图像识别结果。</w:t>
      </w:r>
    </w:p>
    <w:bookmarkEnd w:id="64"/>
    <w:bookmarkStart w:name="eba9f7f6e29d1d0e7ddc1d30dc2bf8fa" w:id="65"/>
    <w:p>
      <w:pPr>
        <w:numPr>
          <w:ilvl w:val="0"/>
          <w:numId w:val="7"/>
        </w:numPr>
        <w:spacing w:after="50" w:line="360" w:lineRule="auto" w:beforeLines="100"/>
        <w:ind w:left="360"/>
        <w:jc w:val="left"/>
      </w:pPr>
      <w:r>
        <w:rPr>
          <w:rFonts w:ascii="宋体" w:hAnsi="Times New Roman" w:eastAsia="宋体"/>
          <w:b/>
          <w:i w:val="false"/>
          <w:color w:val="004347"/>
          <w:sz w:val="22"/>
        </w:rPr>
        <w:t>强制策略：</w:t>
      </w:r>
      <w:r>
        <w:rPr>
          <w:rFonts w:ascii="宋体" w:hAnsi="Times New Roman" w:eastAsia="宋体"/>
          <w:b w:val="false"/>
          <w:i w:val="false"/>
          <w:color w:val="000000"/>
          <w:sz w:val="22"/>
        </w:rPr>
        <w:t xml:space="preserve"> 只有当电气信号与 AI 识别结果（触头实际物理位置）达成一致时，系统才确认为操作成功。</w:t>
      </w:r>
    </w:p>
    <w:bookmarkEnd w:id="65"/>
    <w:bookmarkStart w:name="M2VBp" w:id="66"/>
    <w:p>
      <w:pPr>
        <w:pStyle w:val="Heading3"/>
        <w:spacing w:after="50" w:line="360" w:lineRule="auto" w:beforeLines="100"/>
        <w:ind w:left="0"/>
        <w:jc w:val="left"/>
      </w:pPr>
      <w:r>
        <w:rPr>
          <w:rFonts w:ascii="宋体" w:hAnsi="Times New Roman" w:eastAsia="宋体"/>
          <w:color w:val="004347"/>
        </w:rPr>
        <w:t>5.2 AI 参与逻辑控制</w:t>
      </w:r>
    </w:p>
    <w:bookmarkEnd w:id="66"/>
    <w:bookmarkStart w:name="2b733afc8226681ffe8e6e402d4798ef" w:id="67"/>
    <w:p>
      <w:pPr>
        <w:spacing w:after="50" w:line="360" w:lineRule="auto" w:beforeLines="100"/>
        <w:ind w:left="0"/>
        <w:jc w:val="left"/>
      </w:pPr>
      <w:r>
        <w:rPr>
          <w:rFonts w:ascii="宋体" w:hAnsi="Times New Roman" w:eastAsia="宋体"/>
          <w:b w:val="false"/>
          <w:i w:val="false"/>
          <w:color w:val="000000"/>
          <w:sz w:val="22"/>
        </w:rPr>
        <w:t>系统不只是将视频作为记录日志，而是将其嵌入顺控循环中。如果 AI 识别结果显示触头位置未达到预定目标，顺控程序将自动暂停（Pause）并报错，防止后续误合操作引发事故。</w:t>
      </w:r>
    </w:p>
    <w:bookmarkEnd w:id="67"/>
    <w:bookmarkStart w:name="uff6bcc81" w:id="68"/>
    <w:p>
      <w:pPr>
        <w:spacing w:after="50" w:line="360" w:lineRule="auto" w:beforeLines="100"/>
        <w:ind w:left="0"/>
        <w:jc w:val="left"/>
      </w:pPr>
      <w:bookmarkStart w:name="uc1c74f42" w:id="69"/>
      <w:r>
        <w:rPr>
          <w:rFonts w:eastAsia="宋体" w:ascii="宋体"/>
        </w:rPr>
        <w:drawing>
          <wp:inline distT="0" distB="0" distL="0" distR="0">
            <wp:extent cx="5842000" cy="3259826"/>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
                    <a:stretch>
                      <a:fillRect/>
                    </a:stretch>
                  </pic:blipFill>
                  <pic:spPr>
                    <a:xfrm>
                      <a:off x="0" y="0"/>
                      <a:ext cx="44670132" cy="24925860"/>
                    </a:xfrm>
                    <a:prstGeom prst="rect">
                      <a:avLst/>
                    </a:prstGeom>
                  </pic:spPr>
                </pic:pic>
              </a:graphicData>
            </a:graphic>
          </wp:inline>
        </w:drawing>
      </w:r>
      <w:bookmarkEnd w:id="69"/>
    </w:p>
    <w:bookmarkEnd w:id="68"/>
    <w:bookmarkStart w:name="HjInl" w:id="70"/>
    <w:p>
      <w:pPr>
        <w:pStyle w:val="Heading3"/>
        <w:spacing w:after="50" w:line="360" w:lineRule="auto" w:beforeLines="100"/>
        <w:ind w:left="0"/>
        <w:jc w:val="left"/>
      </w:pPr>
      <w:r>
        <w:rPr>
          <w:rFonts w:ascii="宋体" w:hAnsi="Times New Roman" w:eastAsia="宋体"/>
          <w:color w:val="004347"/>
        </w:rPr>
        <w:t>5.3 三位一体感知模型</w:t>
      </w:r>
    </w:p>
    <w:bookmarkEnd w:id="70"/>
    <w:bookmarkStart w:name="0fb254caa2c454ff8e6aae0e0f205476" w:id="71"/>
    <w:p>
      <w:pPr>
        <w:spacing w:after="50" w:line="360" w:lineRule="auto" w:beforeLines="100"/>
        <w:ind w:left="0"/>
        <w:jc w:val="left"/>
      </w:pPr>
      <w:r>
        <w:rPr>
          <w:rFonts w:ascii="宋体" w:hAnsi="Times New Roman" w:eastAsia="宋体"/>
          <w:b w:val="false"/>
          <w:i w:val="false"/>
          <w:color w:val="000000"/>
          <w:sz w:val="22"/>
        </w:rPr>
        <w:t>SR-IED 同步采集三相电压、电流等电气参数，构建了“物理位置信号 + 电气运行参数 + AI 视觉图像”的三位一体模型，实现了设备状态的数字化全息展示。</w:t>
      </w:r>
    </w:p>
    <w:bookmarkEnd w:id="71"/>
    <w:bookmarkStart w:name="anQMx" w:id="72"/>
    <w:p>
      <w:pPr>
        <w:pStyle w:val="Heading2"/>
        <w:spacing w:after="50" w:line="360" w:lineRule="auto" w:beforeLines="100"/>
        <w:ind w:left="0"/>
        <w:jc w:val="left"/>
      </w:pPr>
      <w:bookmarkStart w:name="y2Uxs" w:id="73"/>
      <w:r>
        <w:rPr>
          <w:rFonts w:eastAsia="宋体" w:ascii="宋体"/>
        </w:rPr>
        <w:drawing>
          <wp:inline distT="0" distB="0" distL="0" distR="0">
            <wp:extent cx="5842000" cy="1372859"/>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
                    <a:stretch>
                      <a:fillRect/>
                    </a:stretch>
                  </pic:blipFill>
                  <pic:spPr>
                    <a:xfrm>
                      <a:off x="0" y="0"/>
                      <a:ext cx="17238133" cy="4050930"/>
                    </a:xfrm>
                    <a:prstGeom prst="rect">
                      <a:avLst/>
                    </a:prstGeom>
                  </pic:spPr>
                </pic:pic>
              </a:graphicData>
            </a:graphic>
          </wp:inline>
        </w:drawing>
      </w:r>
      <w:bookmarkEnd w:id="73"/>
    </w:p>
    <w:bookmarkEnd w:id="72"/>
    <w:bookmarkStart w:name="b9af5cd211ea961027196ee58884f1e3" w:id="74"/>
    <w:p>
      <w:pPr>
        <w:spacing w:after="50" w:line="360" w:lineRule="auto" w:beforeLines="100"/>
        <w:ind w:left="0"/>
        <w:jc w:val="left"/>
      </w:pPr>
      <w:r>
        <w:rPr>
          <w:rFonts w:ascii="宋体" w:hAnsi="Times New Roman" w:eastAsia="宋体"/>
          <w:b w:val="false"/>
          <w:i w:val="false"/>
          <w:color w:val="000000"/>
          <w:sz w:val="22"/>
        </w:rPr>
        <w:t xml:space="preserve">除了执行自动化，本方案的核心战略价值在于通过 </w:t>
      </w:r>
      <w:r>
        <w:rPr>
          <w:rFonts w:ascii="宋体" w:hAnsi="Times New Roman" w:eastAsia="宋体"/>
          <w:b/>
          <w:i w:val="false"/>
          <w:color w:val="004347"/>
          <w:sz w:val="22"/>
        </w:rPr>
        <w:t>SR-MECH</w:t>
      </w:r>
      <w:r>
        <w:rPr>
          <w:rFonts w:ascii="宋体" w:hAnsi="Times New Roman" w:eastAsia="宋体"/>
          <w:b w:val="false"/>
          <w:i w:val="false"/>
          <w:color w:val="000000"/>
          <w:sz w:val="22"/>
        </w:rPr>
        <w:t xml:space="preserve"> 单元实现从“故障维修”向“状态维修”的转变。</w:t>
      </w:r>
    </w:p>
    <w:bookmarkEnd w:id="74"/>
    <w:bookmarkStart w:name="tWhTD" w:id="75"/>
    <w:p>
      <w:pPr>
        <w:pStyle w:val="Heading3"/>
        <w:spacing w:after="50" w:line="360" w:lineRule="auto" w:beforeLines="100"/>
        <w:ind w:left="0"/>
        <w:jc w:val="left"/>
      </w:pPr>
      <w:r>
        <w:rPr>
          <w:rFonts w:ascii="宋体" w:hAnsi="Times New Roman" w:eastAsia="宋体"/>
          <w:color w:val="004347"/>
        </w:rPr>
        <w:t>6.1 机械特性的“数字指纹”</w:t>
      </w:r>
    </w:p>
    <w:bookmarkEnd w:id="75"/>
    <w:bookmarkStart w:name="8bbc5f10127338ee758b59fd572ca39d" w:id="76"/>
    <w:p>
      <w:pPr>
        <w:spacing w:after="50" w:line="360" w:lineRule="auto" w:beforeLines="100"/>
        <w:ind w:left="0"/>
        <w:jc w:val="left"/>
      </w:pPr>
      <w:r>
        <w:rPr>
          <w:rFonts w:ascii="宋体" w:hAnsi="Times New Roman" w:eastAsia="宋体"/>
          <w:b w:val="false"/>
          <w:i w:val="false"/>
          <w:color w:val="000000"/>
          <w:sz w:val="22"/>
        </w:rPr>
        <w:t xml:space="preserve">SR-MECH 单元通过 </w:t>
      </w:r>
      <w:r>
        <w:rPr>
          <w:rFonts w:ascii="宋体" w:hAnsi="Times New Roman" w:eastAsia="宋体"/>
          <w:b/>
          <w:i w:val="false"/>
          <w:color w:val="004347"/>
          <w:sz w:val="22"/>
        </w:rPr>
        <w:t>3 个霍尔传感器和 1 个位移传感器</w:t>
      </w:r>
      <w:r>
        <w:rPr>
          <w:rFonts w:ascii="宋体" w:hAnsi="Times New Roman" w:eastAsia="宋体"/>
          <w:b w:val="false"/>
          <w:i w:val="false"/>
          <w:color w:val="004347"/>
          <w:sz w:val="22"/>
        </w:rPr>
        <w:t>，</w:t>
      </w:r>
      <w:r>
        <w:rPr>
          <w:rFonts w:ascii="宋体" w:hAnsi="Times New Roman" w:eastAsia="宋体"/>
          <w:b w:val="false"/>
          <w:i w:val="false"/>
          <w:color w:val="000000"/>
          <w:sz w:val="22"/>
        </w:rPr>
        <w:t>在每次动作中精准捕捉：</w:t>
      </w:r>
    </w:p>
    <w:bookmarkEnd w:id="76"/>
    <w:bookmarkStart w:name="577cf6cc6f5d2db658bbccb2e4b25ad0" w:id="77"/>
    <w:p>
      <w:pPr>
        <w:numPr>
          <w:ilvl w:val="0"/>
          <w:numId w:val="8"/>
        </w:numPr>
        <w:spacing w:after="50" w:line="360" w:lineRule="auto" w:beforeLines="100"/>
        <w:ind w:left="360"/>
        <w:jc w:val="left"/>
      </w:pPr>
      <w:r>
        <w:rPr>
          <w:rFonts w:ascii="宋体" w:hAnsi="Times New Roman" w:eastAsia="宋体"/>
          <w:b/>
          <w:i w:val="false"/>
          <w:color w:val="004347"/>
          <w:sz w:val="22"/>
        </w:rPr>
        <w:t>关键波形：</w:t>
      </w:r>
      <w:r>
        <w:rPr>
          <w:rFonts w:ascii="宋体" w:hAnsi="Times New Roman" w:eastAsia="宋体"/>
          <w:b w:val="false"/>
          <w:i w:val="false"/>
          <w:color w:val="000000"/>
          <w:sz w:val="22"/>
        </w:rPr>
        <w:t xml:space="preserve"> 分合闸线圈电流波形、储能电机电流曲线。这些波形是断路器健康的“数字指纹”。</w:t>
      </w:r>
    </w:p>
    <w:bookmarkEnd w:id="77"/>
    <w:bookmarkStart w:name="7a4c2462a0b83474a9bbeabc4fc252af" w:id="78"/>
    <w:p>
      <w:pPr>
        <w:numPr>
          <w:ilvl w:val="0"/>
          <w:numId w:val="8"/>
        </w:numPr>
        <w:spacing w:after="50" w:line="360" w:lineRule="auto" w:beforeLines="100"/>
        <w:ind w:left="360"/>
        <w:jc w:val="left"/>
      </w:pPr>
      <w:r>
        <w:rPr>
          <w:rFonts w:ascii="宋体" w:hAnsi="Times New Roman" w:eastAsia="宋体"/>
          <w:b/>
          <w:i w:val="false"/>
          <w:color w:val="004347"/>
          <w:sz w:val="22"/>
        </w:rPr>
        <w:t>精密参数：</w:t>
      </w:r>
      <w:r>
        <w:rPr>
          <w:rFonts w:ascii="宋体" w:hAnsi="Times New Roman" w:eastAsia="宋体"/>
          <w:b w:val="false"/>
          <w:i w:val="false"/>
          <w:color w:val="000000"/>
          <w:sz w:val="22"/>
        </w:rPr>
        <w:t xml:space="preserve"> 实时计算合分闸速度、超程、开距、三相不同期性等核心指标。</w:t>
      </w:r>
    </w:p>
    <w:bookmarkEnd w:id="78"/>
    <w:bookmarkStart w:name="YPy0E" w:id="79"/>
    <w:p>
      <w:pPr>
        <w:pStyle w:val="Heading3"/>
        <w:spacing w:after="50" w:line="360" w:lineRule="auto" w:beforeLines="100"/>
        <w:ind w:left="0"/>
        <w:jc w:val="left"/>
      </w:pPr>
      <w:r>
        <w:rPr>
          <w:rFonts w:ascii="宋体" w:hAnsi="Times New Roman" w:eastAsia="宋体"/>
          <w:color w:val="004347"/>
        </w:rPr>
        <w:t>6.2 专家诊断系统（Expert Diagnosis）</w:t>
      </w:r>
    </w:p>
    <w:bookmarkEnd w:id="79"/>
    <w:bookmarkStart w:name="e2a6f1f22e1d206e9c511126d7e96c76" w:id="80"/>
    <w:p>
      <w:pPr>
        <w:spacing w:after="50" w:line="360" w:lineRule="auto" w:beforeLines="100"/>
        <w:ind w:left="0"/>
        <w:jc w:val="left"/>
      </w:pPr>
      <w:r>
        <w:rPr>
          <w:rFonts w:ascii="宋体" w:hAnsi="Times New Roman" w:eastAsia="宋体"/>
          <w:b w:val="false"/>
          <w:i w:val="false"/>
          <w:color w:val="000000"/>
          <w:sz w:val="22"/>
        </w:rPr>
        <w:t xml:space="preserve">依托 </w:t>
      </w:r>
      <w:r>
        <w:rPr>
          <w:rFonts w:ascii="宋体" w:hAnsi="Times New Roman" w:eastAsia="宋体"/>
          <w:b/>
          <w:i w:val="false"/>
          <w:color w:val="004347"/>
          <w:sz w:val="22"/>
        </w:rPr>
        <w:t>SR-ISEDS 软件</w:t>
      </w:r>
      <w:r>
        <w:rPr>
          <w:rFonts w:ascii="宋体" w:hAnsi="Times New Roman" w:eastAsia="宋体"/>
          <w:b w:val="false"/>
          <w:i w:val="false"/>
          <w:color w:val="000000"/>
          <w:sz w:val="22"/>
        </w:rPr>
        <w:t>，系统通过对比历史健康曲线，可发现微小的分合闸时间偏移或电流特征变化，从而预判断路器的机械疲劳程度与剩余寿命。这种“事前预判”能力能显著降低机场因断路器机械故障导致的非计划停电，精确定位故障点。</w:t>
      </w:r>
    </w:p>
    <w:bookmarkEnd w:id="80"/>
    <w:bookmarkStart w:name="uf7719574" w:id="81"/>
    <w:p>
      <w:pPr>
        <w:spacing w:after="50" w:line="360" w:lineRule="auto" w:beforeLines="100"/>
        <w:ind w:left="0"/>
        <w:jc w:val="left"/>
      </w:pPr>
      <w:bookmarkStart w:name="ub0abec47" w:id="82"/>
      <w:r>
        <w:rPr>
          <w:rFonts w:eastAsia="宋体" w:ascii="宋体"/>
        </w:rPr>
        <w:drawing>
          <wp:inline distT="0" distB="0" distL="0" distR="0">
            <wp:extent cx="5842000" cy="3259826"/>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9"/>
                    <a:stretch>
                      <a:fillRect/>
                    </a:stretch>
                  </pic:blipFill>
                  <pic:spPr>
                    <a:xfrm>
                      <a:off x="0" y="0"/>
                      <a:ext cx="44670132" cy="24925860"/>
                    </a:xfrm>
                    <a:prstGeom prst="rect">
                      <a:avLst/>
                    </a:prstGeom>
                  </pic:spPr>
                </pic:pic>
              </a:graphicData>
            </a:graphic>
          </wp:inline>
        </w:drawing>
      </w:r>
      <w:bookmarkEnd w:id="82"/>
    </w:p>
    <w:bookmarkEnd w:id="81"/>
    <w:bookmarkStart w:name="uvCE5" w:id="83"/>
    <w:p>
      <w:pPr>
        <w:pStyle w:val="Heading2"/>
        <w:spacing w:after="50" w:line="360" w:lineRule="auto" w:beforeLines="100"/>
        <w:ind w:left="0"/>
        <w:jc w:val="left"/>
      </w:pPr>
      <w:bookmarkStart w:name="MYOAI" w:id="84"/>
      <w:r>
        <w:rPr>
          <w:rFonts w:eastAsia="宋体" w:ascii="宋体"/>
        </w:rPr>
        <w:drawing>
          <wp:inline distT="0" distB="0" distL="0" distR="0">
            <wp:extent cx="5842000" cy="1367017"/>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0"/>
                    <a:stretch>
                      <a:fillRect/>
                    </a:stretch>
                  </pic:blipFill>
                  <pic:spPr>
                    <a:xfrm>
                      <a:off x="0" y="0"/>
                      <a:ext cx="17238133" cy="4033692"/>
                    </a:xfrm>
                    <a:prstGeom prst="rect">
                      <a:avLst/>
                    </a:prstGeom>
                  </pic:spPr>
                </pic:pic>
              </a:graphicData>
            </a:graphic>
          </wp:inline>
        </w:drawing>
      </w:r>
      <w:bookmarkEnd w:id="84"/>
    </w:p>
    <w:bookmarkEnd w:id="83"/>
    <w:bookmarkStart w:name="c3419e0e573eacfb48c1411618bcf17a" w:id="85"/>
    <w:p>
      <w:pPr>
        <w:spacing w:after="50" w:line="360" w:lineRule="auto" w:beforeLines="100"/>
        <w:ind w:left="0"/>
        <w:jc w:val="left"/>
      </w:pPr>
      <w:r>
        <w:rPr>
          <w:rFonts w:ascii="宋体" w:hAnsi="Times New Roman" w:eastAsia="宋体"/>
          <w:b w:val="false"/>
          <w:i w:val="false"/>
          <w:color w:val="000000"/>
          <w:sz w:val="22"/>
        </w:rPr>
        <w:t xml:space="preserve">本方案以 SR-IED 为核心，凭借其 </w:t>
      </w:r>
      <w:r>
        <w:rPr>
          <w:rFonts w:ascii="宋体" w:hAnsi="Times New Roman" w:eastAsia="宋体"/>
          <w:b/>
          <w:i w:val="false"/>
          <w:color w:val="004347"/>
          <w:sz w:val="22"/>
        </w:rPr>
        <w:t>IP54 高防护等级</w:t>
      </w:r>
      <w:r>
        <w:rPr>
          <w:rFonts w:ascii="宋体" w:hAnsi="Times New Roman" w:eastAsia="宋体"/>
          <w:b w:val="false"/>
          <w:i w:val="false"/>
          <w:color w:val="000000"/>
          <w:sz w:val="22"/>
        </w:rPr>
        <w:t>、软硬高度集成以及严密的数字化逻辑，解决了传统开关柜运维“看不见、测不到、控不准”的痛点。</w:t>
      </w:r>
    </w:p>
    <w:bookmarkEnd w:id="85"/>
    <w:bookmarkStart w:name="3b239a144a4c916120127af1de211b6e" w:id="86"/>
    <w:p>
      <w:pPr>
        <w:spacing w:after="50" w:line="360" w:lineRule="auto" w:beforeLines="100"/>
        <w:ind w:left="0"/>
        <w:jc w:val="left"/>
      </w:pPr>
      <w:r>
        <w:rPr>
          <w:rFonts w:ascii="宋体" w:hAnsi="Times New Roman" w:eastAsia="宋体"/>
          <w:b/>
          <w:i w:val="false"/>
          <w:color w:val="004347"/>
          <w:sz w:val="22"/>
        </w:rPr>
        <w:t>核心优势总结：</w:t>
      </w:r>
    </w:p>
    <w:bookmarkEnd w:id="86"/>
    <w:bookmarkStart w:name="6169321bd4293fa17f1e935839e3f0ea" w:id="87"/>
    <w:p>
      <w:pPr>
        <w:numPr>
          <w:ilvl w:val="0"/>
          <w:numId w:val="9"/>
        </w:numPr>
        <w:spacing w:after="50" w:line="360" w:lineRule="auto" w:beforeLines="100"/>
        <w:ind w:left="360"/>
        <w:jc w:val="left"/>
      </w:pPr>
      <w:r>
        <w:rPr>
          <w:rFonts w:ascii="宋体" w:hAnsi="Times New Roman" w:eastAsia="宋体"/>
          <w:b/>
          <w:i w:val="false"/>
          <w:color w:val="004347"/>
          <w:sz w:val="22"/>
        </w:rPr>
        <w:t>硬件冗余与深度感知：</w:t>
      </w:r>
      <w:r>
        <w:rPr>
          <w:rFonts w:ascii="宋体" w:hAnsi="Times New Roman" w:eastAsia="宋体"/>
          <w:b w:val="false"/>
          <w:i w:val="false"/>
          <w:color w:val="000000"/>
          <w:sz w:val="22"/>
        </w:rPr>
        <w:t xml:space="preserve"> 双摄像头 AI 识别与 3+1 传感器机械特性监测，构建了极致的安全冗余。</w:t>
      </w:r>
    </w:p>
    <w:bookmarkEnd w:id="87"/>
    <w:bookmarkStart w:name="19ccf2fdb4e9a9c925840ba1d9fecd97" w:id="88"/>
    <w:p>
      <w:pPr>
        <w:numPr>
          <w:ilvl w:val="0"/>
          <w:numId w:val="9"/>
        </w:numPr>
        <w:spacing w:after="50" w:line="360" w:lineRule="auto" w:beforeLines="100"/>
        <w:ind w:left="360"/>
        <w:jc w:val="left"/>
      </w:pPr>
      <w:r>
        <w:rPr>
          <w:rFonts w:ascii="宋体" w:hAnsi="Times New Roman" w:eastAsia="宋体"/>
          <w:b/>
          <w:i w:val="false"/>
          <w:color w:val="004347"/>
          <w:sz w:val="22"/>
        </w:rPr>
        <w:t>算法保障：</w:t>
      </w:r>
      <w:r>
        <w:rPr>
          <w:rFonts w:ascii="宋体" w:hAnsi="Times New Roman" w:eastAsia="宋体"/>
          <w:b w:val="false"/>
          <w:i w:val="false"/>
          <w:color w:val="000000"/>
          <w:sz w:val="22"/>
        </w:rPr>
        <w:t xml:space="preserve"> Tcd 状态充电管理与电机堵转反转保护，确保了自动化执行的稳定性。</w:t>
      </w:r>
    </w:p>
    <w:bookmarkEnd w:id="88"/>
    <w:bookmarkStart w:name="u0ba513c8" w:id="89"/>
    <w:p>
      <w:pPr>
        <w:spacing w:after="50" w:line="360" w:lineRule="auto" w:beforeLines="100"/>
        <w:ind w:left="0"/>
        <w:jc w:val="left"/>
      </w:pPr>
      <w:bookmarkStart w:name="uda24cca2" w:id="90"/>
      <w:r>
        <w:rPr>
          <w:rFonts w:eastAsia="宋体" w:ascii="宋体"/>
        </w:rPr>
        <w:drawing>
          <wp:inline distT="0" distB="0" distL="0" distR="0">
            <wp:extent cx="5842000" cy="3259821"/>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1"/>
                    <a:stretch>
                      <a:fillRect/>
                    </a:stretch>
                  </pic:blipFill>
                  <pic:spPr>
                    <a:xfrm>
                      <a:off x="0" y="0"/>
                      <a:ext cx="44653200" cy="24916374"/>
                    </a:xfrm>
                    <a:prstGeom prst="rect">
                      <a:avLst/>
                    </a:prstGeom>
                  </pic:spPr>
                </pic:pic>
              </a:graphicData>
            </a:graphic>
          </wp:inline>
        </w:drawing>
      </w:r>
      <w:bookmarkEnd w:id="90"/>
    </w:p>
    <w:bookmarkEnd w:id="89"/>
    <w:bookmarkStart w:name="9ac38102d2a6dcde09a03aa507bea693" w:id="91"/>
    <w:p>
      <w:pPr>
        <w:spacing w:after="50" w:line="360" w:lineRule="auto" w:beforeLines="100"/>
        <w:ind w:left="0"/>
        <w:jc w:val="left"/>
      </w:pPr>
      <w:r>
        <w:rPr>
          <w:rFonts w:ascii="宋体" w:hAnsi="Times New Roman" w:eastAsia="宋体"/>
          <w:b/>
          <w:i w:val="false"/>
          <w:color w:val="004347"/>
          <w:sz w:val="22"/>
        </w:rPr>
        <w:t>未来趋势：</w:t>
      </w:r>
      <w:r>
        <w:rPr>
          <w:rFonts w:ascii="宋体" w:hAnsi="Times New Roman" w:eastAsia="宋体"/>
          <w:b w:val="false"/>
          <w:i w:val="false"/>
          <w:color w:val="000000"/>
          <w:sz w:val="22"/>
        </w:rPr>
        <w:t xml:space="preserve"> 一键顺控技术将从“站端本地顺控”向“全网协同顺控”演进。通过与集控中心、调度自动化系统的联动，未来将实现网架级的资源优化与态势感知，为民航机场构建一个“</w:t>
      </w:r>
      <w:r>
        <w:rPr>
          <w:rFonts w:ascii="宋体" w:hAnsi="Times New Roman" w:eastAsia="宋体"/>
          <w:b/>
          <w:i w:val="false"/>
          <w:color w:val="004347"/>
          <w:sz w:val="22"/>
        </w:rPr>
        <w:t>全感知、全遥控、全校核</w:t>
      </w:r>
      <w:r>
        <w:rPr>
          <w:rFonts w:ascii="宋体" w:hAnsi="Times New Roman" w:eastAsia="宋体"/>
          <w:b w:val="false"/>
          <w:i w:val="false"/>
          <w:color w:val="000000"/>
          <w:sz w:val="22"/>
        </w:rPr>
        <w:t>”的智慧能源基石。只有底层逻辑的绝对透明与可靠，才能支撑起上层智慧建筑的稳定运行。</w:t>
      </w:r>
    </w:p>
    <w:bookmarkEnd w:id="91"/>
    <w:bookmarkStart w:name="1274e2159bc62dc3e8fceb19344f6eb5" w:id="92"/>
    <w:p>
      <w:pPr>
        <w:spacing w:after="50" w:line="360" w:lineRule="auto" w:beforeLines="100"/>
        <w:ind w:left="0"/>
        <w:jc w:val="left"/>
      </w:pPr>
      <w:bookmarkStart w:name="u84891859" w:id="93"/>
      <w:r>
        <w:rPr>
          <w:rFonts w:eastAsia="宋体" w:ascii="宋体"/>
        </w:rPr>
        <w:drawing>
          <wp:inline distT="0" distB="0" distL="0" distR="0">
            <wp:extent cx="5842000" cy="162407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2"/>
                    <a:stretch>
                      <a:fillRect/>
                    </a:stretch>
                  </pic:blipFill>
                  <pic:spPr>
                    <a:xfrm>
                      <a:off x="0" y="0"/>
                      <a:ext cx="95927337" cy="26667706"/>
                    </a:xfrm>
                    <a:prstGeom prst="rect">
                      <a:avLst/>
                    </a:prstGeom>
                  </pic:spPr>
                </pic:pic>
              </a:graphicData>
            </a:graphic>
          </wp:inline>
        </w:drawing>
      </w:r>
      <w:bookmarkEnd w:id="93"/>
    </w:p>
    <w:bookmarkEnd w:id="92"/>
    <w:bookmarkStart w:name="u33cab519" w:id="94"/>
    <w:p>
      <w:pPr>
        <w:spacing w:after="50" w:line="360" w:lineRule="auto" w:beforeLines="100"/>
        <w:ind w:left="0"/>
        <w:jc w:val="left"/>
      </w:pPr>
      <w:bookmarkStart w:name="u23df1d88" w:id="95"/>
      <w:r>
        <w:rPr>
          <w:rFonts w:eastAsia="宋体" w:ascii="宋体"/>
        </w:rPr>
        <w:drawing>
          <wp:inline distT="0" distB="0" distL="0" distR="0">
            <wp:extent cx="5841999" cy="3294872"/>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3"/>
                    <a:stretch>
                      <a:fillRect/>
                    </a:stretch>
                  </pic:blipFill>
                  <pic:spPr>
                    <a:xfrm>
                      <a:off x="0" y="0"/>
                      <a:ext cx="14207067" cy="8012748"/>
                    </a:xfrm>
                    <a:prstGeom prst="rect">
                      <a:avLst/>
                    </a:prstGeom>
                  </pic:spPr>
                </pic:pic>
              </a:graphicData>
            </a:graphic>
          </wp:inline>
        </w:drawing>
      </w:r>
      <w:bookmarkEnd w:id="95"/>
      <w:bookmarkStart w:name="u88d305b8" w:id="96"/>
      <w:r>
        <w:rPr>
          <w:rFonts w:eastAsia="宋体" w:ascii="宋体"/>
        </w:rPr>
        <w:drawing>
          <wp:inline distT="0" distB="0" distL="0" distR="0">
            <wp:extent cx="5842000" cy="4726076"/>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4"/>
                    <a:stretch>
                      <a:fillRect/>
                    </a:stretch>
                  </pic:blipFill>
                  <pic:spPr>
                    <a:xfrm>
                      <a:off x="0" y="0"/>
                      <a:ext cx="18694400" cy="15123446"/>
                    </a:xfrm>
                    <a:prstGeom prst="rect">
                      <a:avLst/>
                    </a:prstGeom>
                  </pic:spPr>
                </pic:pic>
              </a:graphicData>
            </a:graphic>
          </wp:inline>
        </w:drawing>
      </w:r>
      <w:bookmarkEnd w:id="96"/>
    </w:p>
    <w:bookmarkEnd w:id="94"/>
    <w:bookmarkStart w:name="u2d29b052" w:id="97"/>
    <w:p>
      <w:pPr>
        <w:spacing w:after="50" w:line="360" w:lineRule="auto" w:beforeLines="100"/>
        <w:ind w:left="0"/>
        <w:jc w:val="left"/>
      </w:pPr>
      <w:bookmarkStart w:name="ue16fd594" w:id="98"/>
      <w:r>
        <w:rPr>
          <w:rFonts w:eastAsia="宋体" w:ascii="宋体"/>
        </w:rPr>
        <w:drawing>
          <wp:inline distT="0" distB="0" distL="0" distR="0">
            <wp:extent cx="5842000" cy="484875"/>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5"/>
                    <a:stretch>
                      <a:fillRect/>
                    </a:stretch>
                  </pic:blipFill>
                  <pic:spPr>
                    <a:xfrm>
                      <a:off x="0" y="0"/>
                      <a:ext cx="22487466" cy="1866421"/>
                    </a:xfrm>
                    <a:prstGeom prst="rect">
                      <a:avLst/>
                    </a:prstGeom>
                  </pic:spPr>
                </pic:pic>
              </a:graphicData>
            </a:graphic>
          </wp:inline>
        </w:drawing>
      </w:r>
      <w:bookmarkEnd w:id="98"/>
    </w:p>
    <w:bookmarkEnd w:id="97"/>
    <w:bookmarkStart w:name="uc0036588" w:id="99"/>
    <w:p>
      <w:pPr>
        <w:spacing w:after="50" w:line="360" w:lineRule="auto" w:beforeLines="100"/>
        <w:ind w:left="0"/>
        <w:jc w:val="left"/>
      </w:pPr>
      <w:bookmarkStart w:name="uc33dcfad" w:id="100"/>
      <w:r>
        <w:rPr>
          <w:rFonts w:eastAsia="宋体" w:ascii="宋体"/>
        </w:rPr>
        <w:drawing>
          <wp:inline distT="0" distB="0" distL="0" distR="0">
            <wp:extent cx="5841999" cy="525764"/>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6"/>
                    <a:stretch>
                      <a:fillRect/>
                    </a:stretch>
                  </pic:blipFill>
                  <pic:spPr>
                    <a:xfrm>
                      <a:off x="0" y="0"/>
                      <a:ext cx="22690666" cy="2042100"/>
                    </a:xfrm>
                    <a:prstGeom prst="rect">
                      <a:avLst/>
                    </a:prstGeom>
                  </pic:spPr>
                </pic:pic>
              </a:graphicData>
            </a:graphic>
          </wp:inline>
        </w:drawing>
      </w:r>
      <w:bookmarkEnd w:id="100"/>
      <w:bookmarkStart w:name="u2d6e9107" w:id="101"/>
      <w:r>
        <w:rPr>
          <w:rFonts w:eastAsia="宋体" w:ascii="宋体"/>
        </w:rPr>
        <w:drawing>
          <wp:inline distT="0" distB="0" distL="0" distR="0">
            <wp:extent cx="5842000" cy="1320275"/>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7"/>
                    <a:stretch>
                      <a:fillRect/>
                    </a:stretch>
                  </pic:blipFill>
                  <pic:spPr>
                    <a:xfrm>
                      <a:off x="0" y="0"/>
                      <a:ext cx="63804800" cy="14419704"/>
                    </a:xfrm>
                    <a:prstGeom prst="rect">
                      <a:avLst/>
                    </a:prstGeom>
                  </pic:spPr>
                </pic:pic>
              </a:graphicData>
            </a:graphic>
          </wp:inline>
        </w:drawing>
      </w:r>
      <w:bookmarkEnd w:id="101"/>
      <w:bookmarkStart w:name="u6f11baea" w:id="102"/>
      <w:r>
        <w:rPr>
          <w:rFonts w:eastAsia="宋体" w:ascii="宋体"/>
        </w:rPr>
        <w:drawing>
          <wp:inline distT="0" distB="0" distL="0" distR="0">
            <wp:extent cx="5842000" cy="1320275"/>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8"/>
                    <a:stretch>
                      <a:fillRect/>
                    </a:stretch>
                  </pic:blipFill>
                  <pic:spPr>
                    <a:xfrm>
                      <a:off x="0" y="0"/>
                      <a:ext cx="63804800" cy="14419704"/>
                    </a:xfrm>
                    <a:prstGeom prst="rect">
                      <a:avLst/>
                    </a:prstGeom>
                  </pic:spPr>
                </pic:pic>
              </a:graphicData>
            </a:graphic>
          </wp:inline>
        </w:drawing>
      </w:r>
      <w:bookmarkEnd w:id="102"/>
      <w:bookmarkStart w:name="u7e485e3c" w:id="103"/>
      <w:r>
        <w:rPr>
          <w:rFonts w:eastAsia="宋体" w:ascii="宋体"/>
        </w:rPr>
        <w:drawing>
          <wp:inline distT="0" distB="0" distL="0" distR="0">
            <wp:extent cx="5842000" cy="1320275"/>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9"/>
                    <a:stretch>
                      <a:fillRect/>
                    </a:stretch>
                  </pic:blipFill>
                  <pic:spPr>
                    <a:xfrm>
                      <a:off x="0" y="0"/>
                      <a:ext cx="63804800" cy="14419704"/>
                    </a:xfrm>
                    <a:prstGeom prst="rect">
                      <a:avLst/>
                    </a:prstGeom>
                  </pic:spPr>
                </pic:pic>
              </a:graphicData>
            </a:graphic>
          </wp:inline>
        </w:drawing>
      </w:r>
      <w:bookmarkEnd w:id="103"/>
      <w:bookmarkStart w:name="u4aea7ad4" w:id="104"/>
      <w:r>
        <w:rPr>
          <w:rFonts w:eastAsia="宋体" w:ascii="宋体"/>
        </w:rPr>
        <w:drawing>
          <wp:inline distT="0" distB="0" distL="0" distR="0">
            <wp:extent cx="5842000" cy="1320275"/>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0"/>
                    <a:stretch>
                      <a:fillRect/>
                    </a:stretch>
                  </pic:blipFill>
                  <pic:spPr>
                    <a:xfrm>
                      <a:off x="0" y="0"/>
                      <a:ext cx="63804800" cy="14419704"/>
                    </a:xfrm>
                    <a:prstGeom prst="rect">
                      <a:avLst/>
                    </a:prstGeom>
                  </pic:spPr>
                </pic:pic>
              </a:graphicData>
            </a:graphic>
          </wp:inline>
        </w:drawing>
      </w:r>
      <w:bookmarkEnd w:id="104"/>
      <w:bookmarkStart w:name="u0a621e40" w:id="105"/>
      <w:r>
        <w:rPr>
          <w:rFonts w:eastAsia="宋体" w:ascii="宋体"/>
        </w:rPr>
        <w:drawing>
          <wp:inline distT="0" distB="0" distL="0" distR="0">
            <wp:extent cx="5842000" cy="2862488"/>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1"/>
                    <a:stretch>
                      <a:fillRect/>
                    </a:stretch>
                  </pic:blipFill>
                  <pic:spPr>
                    <a:xfrm>
                      <a:off x="0" y="0"/>
                      <a:ext cx="16628533" cy="8147720"/>
                    </a:xfrm>
                    <a:prstGeom prst="rect">
                      <a:avLst/>
                    </a:prstGeom>
                  </pic:spPr>
                </pic:pic>
              </a:graphicData>
            </a:graphic>
          </wp:inline>
        </w:drawing>
      </w:r>
      <w:bookmarkEnd w:id="105"/>
    </w:p>
    <w:bookmarkEnd w:id="99"/>
    <w:sectPr>
      <w:pgSz w:w="11907" w:h="16839" w:code="9"/>
      <w:pgMar w:top="1440" w:right="1440" w:bottom="1440" w:left="1440"/>
    </w:sectPr>
  </w:body>
</w:document>
</file>

<file path=word/numbering.xml><?xml version="1.0" encoding="utf-8"?>
<w:numbering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w:abstractNum w:abstractNumId="1">
    <w:multiLevelType w:val="multilevel"/>
    <w:lvl w:ilvl="0">
      <w:start w:val="1"/>
      <w:numFmt w:val="bullet"/>
      <w:lvlText w:val=""/>
      <w:lvlJc w:val="left"/>
      <w:pPr>
        <w:ind w:left="960" w:hanging="360"/>
      </w:pPr>
      <w:rPr>
        <w:rFonts w:hint="default" w:ascii="Symbol" w:hAnsi="Symbol"/>
      </w:rPr>
    </w:lvl>
  </w:abstractNum>
  <w:abstractNum w:abstractNumId="2">
    <w:multiLevelType w:val="multilevel"/>
    <w:lvl w:ilvl="0">
      <w:start w:val="1"/>
      <w:numFmt w:val="bullet"/>
      <w:lvlText w:val=""/>
      <w:lvlJc w:val="left"/>
      <w:pPr>
        <w:ind w:left="960" w:hanging="360"/>
      </w:pPr>
      <w:rPr>
        <w:rFonts w:hint="default" w:ascii="Symbol" w:hAnsi="Symbol"/>
      </w:rPr>
    </w:lvl>
  </w:abstractNum>
  <w:abstractNum w:abstractNumId="3">
    <w:multiLevelType w:val="multilevel"/>
    <w:lvl w:ilvl="0">
      <w:start w:val="1"/>
      <w:numFmt w:val="decimal"/>
      <w:lvlText w:val="%1."/>
      <w:lvlJc w:val="left"/>
      <w:pPr>
        <w:ind w:left="960" w:hanging="360"/>
      </w:pPr>
    </w:lvl>
  </w:abstractNum>
  <w:abstractNum w:abstractNumId="4">
    <w:multiLevelType w:val="multilevel"/>
    <w:lvl w:ilvl="0">
      <w:start w:val="1"/>
      <w:numFmt w:val="bullet"/>
      <w:lvlText w:val=""/>
      <w:lvlJc w:val="left"/>
      <w:pPr>
        <w:ind w:left="960" w:hanging="360"/>
      </w:pPr>
      <w:rPr>
        <w:rFonts w:hint="default" w:ascii="Symbol" w:hAnsi="Symbol"/>
      </w:rPr>
    </w:lvl>
  </w:abstractNum>
  <w:abstractNum w:abstractNumId="5">
    <w:multiLevelType w:val="multilevel"/>
    <w:lvl w:ilvl="0">
      <w:start w:val="1"/>
      <w:numFmt w:val="bullet"/>
      <w:lvlText w:val=""/>
      <w:lvlJc w:val="left"/>
      <w:pPr>
        <w:ind w:left="960" w:hanging="360"/>
      </w:pPr>
      <w:rPr>
        <w:rFonts w:hint="default" w:ascii="Symbol" w:hAnsi="Symbol"/>
      </w:rPr>
    </w:lvl>
  </w:abstractNum>
  <w:abstractNum w:abstractNumId="6">
    <w:multiLevelType w:val="multilevel"/>
    <w:lvl w:ilvl="0">
      <w:start w:val="1"/>
      <w:numFmt w:val="bullet"/>
      <w:lvlText w:val=""/>
      <w:lvlJc w:val="left"/>
      <w:pPr>
        <w:ind w:left="960" w:hanging="360"/>
      </w:pPr>
      <w:rPr>
        <w:rFonts w:hint="default" w:ascii="Symbol" w:hAnsi="Symbol"/>
      </w:rPr>
    </w:lvl>
  </w:abstractNum>
  <w:abstractNum w:abstractNumId="7">
    <w:multiLevelType w:val="multilevel"/>
    <w:lvl w:ilvl="0">
      <w:start w:val="1"/>
      <w:numFmt w:val="bullet"/>
      <w:lvlText w:val=""/>
      <w:lvlJc w:val="left"/>
      <w:pPr>
        <w:ind w:left="960" w:hanging="360"/>
      </w:pPr>
      <w:rPr>
        <w:rFonts w:hint="default" w:ascii="Symbol" w:hAnsi="Symbol"/>
      </w:rPr>
    </w:lvl>
  </w:abstractNum>
  <w:abstractNum w:abstractNumId="8">
    <w:multiLevelType w:val="multilevel"/>
    <w:lvl w:ilvl="0">
      <w:start w:val="1"/>
      <w:numFmt w:val="bullet"/>
      <w:lvlText w:val=""/>
      <w:lvlJc w:val="left"/>
      <w:pPr>
        <w:ind w:left="960" w:hanging="360"/>
      </w:pPr>
      <w:rPr>
        <w:rFonts w:hint="default" w:ascii="Symbol" w:hAnsi="Symbol"/>
      </w:rPr>
    </w:lvl>
  </w:abstractNum>
  <w:abstractNum w:abstractNumId="9">
    <w:multiLevelType w:val="multilevel"/>
    <w:lvl w:ilvl="0">
      <w:start w:val="1"/>
      <w:numFmt w:val="bullet"/>
      <w:lvlText w:val=""/>
      <w:lvlJc w:val="left"/>
      <w:pPr>
        <w:ind w:left="960" w:hanging="360"/>
      </w:pPr>
      <w:rPr>
        <w:rFonts w:hint="default" w:ascii="Symbol" w:hAnsi="Symbol"/>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mc:Ignorable="">
  <w:compat>
    <w:compatSetting w:name="overrideTableStyleFontSizeAndJustification" w:uri="http://schemas.microsoft.com/office/word" w:val="1"/>
  </w:compat>
</w:settings>
</file>

<file path=word/styles.xml><?xml version="1.0" encoding="utf-8"?>
<w:styl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宋体" w:eastAsia="宋体"/>
      <w:b/>
      <w:bCs/>
      <w:color w:val="000000"/>
      <w:sz w:val="42"/>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宋体" w:eastAsia="宋体"/>
      <w:b/>
      <w:bCs/>
      <w:color w:val="000000"/>
      <w:sz w:val="38"/>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宋体" w:eastAsia="宋体"/>
      <w:b/>
      <w:bCs/>
      <w:color w:val="000000"/>
      <w:sz w:val="34"/>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宋体" w:eastAsia="宋体"/>
      <w:b/>
      <w:bCs/>
      <w:color w:val="000000"/>
      <w:sz w:val="30"/>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 w:type="paragraph" w:styleId="Heading5">
    <w:name w:val="heading 5"/>
    <w:basedOn w:val="Normal"/>
    <w:next w:val="Normal"/>
    <w:link w:val="Heading5Char"/>
    <w:uiPriority w:val="9"/>
    <w:unhideWhenUsed/>
    <w:qFormat/>
    <w:rsid w:val="00841CD9"/>
    <w:pPr>
      <w:keepNext/>
      <w:keepLines/>
      <w:spacing w:before="200"/>
      <w:outlineLvl w:val="4"/>
    </w:pPr>
    <w:rPr>
      <w:rFonts w:ascii="宋体" w:eastAsia="宋体"/>
      <w:b/>
      <w:bCs/>
      <w:color w:val="000000"/>
      <w:sz w:val="28"/>
    </w:rPr>
  </w:style>
  <w:style w:type="paragraph" w:styleId="ne-codeblock"/>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10" Target="media/document_image_rId10.png" Type="http://schemas.openxmlformats.org/officeDocument/2006/relationships/image"/><Relationship Id="rId11" Target="media/document_image_rId11.png" Type="http://schemas.openxmlformats.org/officeDocument/2006/relationships/image"/><Relationship Id="rId12" Target="media/document_image_rId12.png" Type="http://schemas.openxmlformats.org/officeDocument/2006/relationships/image"/><Relationship Id="rId13" Target="media/document_image_rId13.png" Type="http://schemas.openxmlformats.org/officeDocument/2006/relationships/image"/><Relationship Id="rId14" Target="media/document_image_rId14.png" Type="http://schemas.openxmlformats.org/officeDocument/2006/relationships/image"/><Relationship Id="rId15" Target="media/document_image_rId15.png" Type="http://schemas.openxmlformats.org/officeDocument/2006/relationships/image"/><Relationship Id="rId16" Target="media/document_image_rId16.png" Type="http://schemas.openxmlformats.org/officeDocument/2006/relationships/image"/><Relationship Id="rId17" Target="media/document_image_rId17.png" Type="http://schemas.openxmlformats.org/officeDocument/2006/relationships/image"/><Relationship Id="rId18" Target="media/document_image_rId18.png" Type="http://schemas.openxmlformats.org/officeDocument/2006/relationships/image"/><Relationship Id="rId19" Target="media/document_image_rId19.png" Type="http://schemas.openxmlformats.org/officeDocument/2006/relationships/image"/><Relationship Id="rId2" Target="settings.xml" Type="http://schemas.openxmlformats.org/officeDocument/2006/relationships/settings"/><Relationship Id="rId20" Target="media/document_image_rId20.png" Type="http://schemas.openxmlformats.org/officeDocument/2006/relationships/image"/><Relationship Id="rId21" Target="media/document_image_rId21.png" Type="http://schemas.openxmlformats.org/officeDocument/2006/relationships/image"/><Relationship Id="rId22" Target="media/document_image_rId22.png" Type="http://schemas.openxmlformats.org/officeDocument/2006/relationships/image"/><Relationship Id="rId23" Target="media/document_image_rId23.png" Type="http://schemas.openxmlformats.org/officeDocument/2006/relationships/image"/><Relationship Id="rId24" Target="media/document_image_rId24.png" Type="http://schemas.openxmlformats.org/officeDocument/2006/relationships/image"/><Relationship Id="rId25" Target="media/document_image_rId25.png" Type="http://schemas.openxmlformats.org/officeDocument/2006/relationships/image"/><Relationship Id="rId26" Target="media/document_image_rId26.png" Type="http://schemas.openxmlformats.org/officeDocument/2006/relationships/image"/><Relationship Id="rId27" Target="media/document_image_rId27.png" Type="http://schemas.openxmlformats.org/officeDocument/2006/relationships/image"/><Relationship Id="rId28" Target="media/document_image_rId28.png" Type="http://schemas.openxmlformats.org/officeDocument/2006/relationships/image"/><Relationship Id="rId29" Target="media/document_image_rId29.png" Type="http://schemas.openxmlformats.org/officeDocument/2006/relationships/image"/><Relationship Id="rId3" Target="numbering.xml" Type="http://schemas.openxmlformats.org/officeDocument/2006/relationships/numbering"/><Relationship Id="rId30" Target="media/document_image_rId30.png" Type="http://schemas.openxmlformats.org/officeDocument/2006/relationships/image"/><Relationship Id="rId31" Target="media/document_image_rId31.png" Type="http://schemas.openxmlformats.org/officeDocument/2006/relationships/image"/><Relationship Id="rId4" Target="media/document_image_rId4.png" Type="http://schemas.openxmlformats.org/officeDocument/2006/relationships/image"/><Relationship Id="rId5" Target="media/document_image_rId5.png" Type="http://schemas.openxmlformats.org/officeDocument/2006/relationships/image"/><Relationship Id="rId6" Target="media/document_image_rId6.png" Type="http://schemas.openxmlformats.org/officeDocument/2006/relationships/image"/><Relationship Id="rId7" Target="media/document_image_rId7.png" Type="http://schemas.openxmlformats.org/officeDocument/2006/relationships/image"/><Relationship Id="rId8" Target="media/document_image_rId8.png" Type="http://schemas.openxmlformats.org/officeDocument/2006/relationships/image"/><Relationship Id="rId9" Target="media/document_image_rId9.png" Type="http://schemas.openxmlformats.org/officeDocument/2006/relationships/image"/></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http://purl.org/dc/elements/1.1/" xmlns:dcterms="http://purl.org/dc/terms/" xmlns:xsi="http://www.w3.org/2001/XMLSchema-instance"/>
</file>