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【轨物方案】从“程序化”到“智能化”：一键顺控系统如何实现倒闸操作 70% 的效率跨越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UEy2o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3536de1" w:id="2"/>
    <w:p>
      <w:pPr>
        <w:spacing w:after="50" w:line="360" w:lineRule="auto" w:beforeLines="100"/>
        <w:ind w:left="0"/>
        <w:jc w:val="left"/>
      </w:pPr>
      <w:bookmarkStart w:name="u675a1213" w:id="3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67d76977b6fd21528d6a31062b6358d7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在传统的配电网运维中，倒闸操作是一项极其耗费人力与时间的精密任务。运维人员必须严格遵循“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唱票－复诵－现场检查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”的繁琐流程，依靠肉眼确认断路器、手车和接地刀的位置。在面对大规模、高复杂度的配电网时，这种模式不仅效率低下，且极易受疲劳或环境视线影响，存在带负荷合接地刀等严重的人因误操作风险。</w:t>
      </w:r>
    </w:p>
    <w:bookmarkEnd w:id="4"/>
    <w:bookmarkStart w:name="uca74f0d4" w:id="5"/>
    <w:p>
      <w:pPr>
        <w:spacing w:after="50" w:line="360" w:lineRule="auto" w:beforeLines="100"/>
        <w:ind w:left="0"/>
        <w:jc w:val="left"/>
      </w:pPr>
      <w:bookmarkStart w:name="u89aa1d3a" w:id="6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0734d915a86cefa33e905fe7c0488005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“一键顺控”作为新一代智能变电站的核心标配，实现了从“人工经验驱动”到“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程序指令驱动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”的技术跨越。通过将操作票固化为标准化程序，该技术可将单次倒闸操作的耗时缩短 70% 以上，是实现无人值守变电站及远方运维的关键基石。</w:t>
      </w:r>
    </w:p>
    <w:bookmarkEnd w:id="7"/>
    <w:bookmarkStart w:name="u813d24fb" w:id="8"/>
    <w:p>
      <w:pPr>
        <w:spacing w:after="50" w:line="360" w:lineRule="auto" w:beforeLines="100"/>
        <w:ind w:left="0"/>
        <w:jc w:val="left"/>
      </w:pPr>
      <w:bookmarkStart w:name="ZPGAh" w:id="9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bf75a530c47d16f2dc9d046ba6dd01f4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一键顺控是指将传统的纸质操作票逻辑转化为计算机可执行的算法。系统通过监控主机按预设逻辑自动下达指令，实现对开关柜三工位（断路器、隔离手车、接地刀）的连续遥控。</w:t>
      </w:r>
    </w:p>
    <w:bookmarkEnd w:id="10"/>
    <w:bookmarkStart w:name="u5e763e5a" w:id="11"/>
    <w:p>
      <w:pPr>
        <w:spacing w:after="50" w:line="360" w:lineRule="auto" w:beforeLines="100"/>
        <w:ind w:left="0"/>
        <w:jc w:val="left"/>
      </w:pPr>
      <w:bookmarkStart w:name="ua265d132" w:id="12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94d609be4acf04b6d8f64195e21f2f6d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其核心特征提炼为以下五个方面：</w:t>
      </w:r>
    </w:p>
    <w:bookmarkEnd w:id="13"/>
    <w:bookmarkStart w:name="463f3fd151fa5327a1ee7dc96a1aff2e" w:id="1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操作项目预制：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基于不同工况，提前将操作票步骤固化在系统库中。</w:t>
      </w:r>
    </w:p>
    <w:bookmarkEnd w:id="14"/>
    <w:bookmarkStart w:name="bb8d1624837b2abe51eb42dc9f1da023" w:id="1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任务模块化：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将复杂的倒闸流程拆解为标准化的指令块。</w:t>
      </w:r>
    </w:p>
    <w:bookmarkEnd w:id="15"/>
    <w:bookmarkStart w:name="19a835ab9bb4104454ea52a7e52a38eb" w:id="1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状态自动判别：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系统通过多源传感器实时感知设备位置。</w:t>
      </w:r>
    </w:p>
    <w:bookmarkEnd w:id="16"/>
    <w:bookmarkStart w:name="dd2e8f56e5eb1c83270aafa99b8726c4" w:id="1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防误联锁校核：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内置强制性的“五防”逻辑及电气闭锁闭环控制。</w:t>
      </w:r>
    </w:p>
    <w:bookmarkEnd w:id="17"/>
    <w:bookmarkStart w:name="db9ba7145cb570edc0f6878a4a444191" w:id="1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步骤顺序执行：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按照既定逻辑链条，全自动驱动设备动作直至达到目标态。</w:t>
      </w:r>
    </w:p>
    <w:bookmarkEnd w:id="18"/>
    <w:bookmarkStart w:name="u6b1b662a" w:id="19"/>
    <w:p>
      <w:pPr>
        <w:spacing w:after="50" w:line="360" w:lineRule="auto" w:beforeLines="100"/>
        <w:ind w:left="0"/>
        <w:jc w:val="left"/>
      </w:pPr>
      <w:bookmarkStart w:name="ZpPMz" w:id="20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c8055c4e97d86922ecc9bb9c32fadc41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一键顺控的逻辑核心是对开关柜“四个状态”的精准识别。系统引入了状态充电时间（Tcd）机制：只有当传感器检测到的位置信号持续满足要求并达到 5 秒（Tcd 时间）后，系统才判定状态转换有效，从而有效滤除信号闪烁带来的误判。</w:t>
      </w:r>
    </w:p>
    <w:bookmarkEnd w:id="21"/>
    <w:bookmarkStart w:name="ubb441a45" w:id="22"/>
    <w:p>
      <w:pPr>
        <w:spacing w:after="50" w:line="360" w:lineRule="auto" w:beforeLines="100"/>
        <w:ind w:left="0"/>
        <w:jc w:val="left"/>
      </w:pPr>
      <w:bookmarkStart w:name="ucf1ff80a" w:id="23"/>
      <w:r>
        <w:rPr>
          <w:rFonts w:eastAsia="宋体" w:ascii="宋体"/>
        </w:rPr>
        <w:drawing>
          <wp:inline distT="0" distB="0" distL="0" distR="0">
            <wp:extent cx="5841999" cy="163044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5866" cy="163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3181eb3d0901a9be97c172fbc33f9654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智能化无缝切换逻辑：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系统具备极强的状态感知能力。当操作员下达如“转检修”指令后，系统会自动检测当前起始状态（如“运行态”），并根据内置逻辑链条自动补全所有中间步骤。这种“目标导向”的逻辑确保了操作的连贯性。</w:t>
      </w:r>
    </w:p>
    <w:bookmarkEnd w:id="24"/>
    <w:bookmarkStart w:name="ufa2a36bc" w:id="25"/>
    <w:p>
      <w:pPr>
        <w:spacing w:after="50" w:line="360" w:lineRule="auto" w:beforeLines="100"/>
        <w:ind w:left="0"/>
        <w:jc w:val="left"/>
      </w:pPr>
      <w:bookmarkStart w:name="eC4hh" w:id="26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3ca788449bddfdce7ee73ad6981ec4a7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一键顺控通过标准化的任务执行，使电力系统的整体效率实现了质的突破。</w:t>
      </w:r>
    </w:p>
    <w:bookmarkEnd w:id="27"/>
    <w:bookmarkStart w:name="ac9d8e7d230776f7107e30d0b6e7ded2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典型操作流程拆解：</w:t>
      </w:r>
    </w:p>
    <w:bookmarkEnd w:id="28"/>
    <w:bookmarkStart w:name="abb299c80b6bea832af7848a3fb28dce" w:id="2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转检修操作：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下达指令 -&gt; 断开断路器 -&gt; 摇出底盘车至试验位置 -&gt; 合上接地刀。</w:t>
      </w:r>
    </w:p>
    <w:bookmarkEnd w:id="29"/>
    <w:bookmarkStart w:name="9bc504d4622ddbcc034d73dddc70e4a8" w:id="3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转运行操作：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下达指令 -&gt; 拉开接地刀 -&gt; 摇进底盘车至工作位置 -&gt; 合上断路器。</w:t>
      </w:r>
    </w:p>
    <w:bookmarkEnd w:id="30"/>
    <w:bookmarkStart w:name="ua8844b99" w:id="31"/>
    <w:p>
      <w:pPr>
        <w:spacing w:after="50" w:line="360" w:lineRule="auto" w:beforeLines="100"/>
        <w:ind w:left="0"/>
        <w:jc w:val="left"/>
      </w:pPr>
      <w:bookmarkStart w:name="u9230ee0f" w:id="32"/>
      <w:r>
        <w:rPr>
          <w:rFonts w:eastAsia="宋体" w:ascii="宋体"/>
        </w:rPr>
        <w:drawing>
          <wp:inline distT="0" distB="0" distL="0" distR="0">
            <wp:extent cx="5842000" cy="3253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433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27251678ee06cf4eec31911ee894b22e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效率实测表现：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根据实际运行数据，一键顺控将原本需要“几十分钟至数小时”的手工操作压缩至分钟级，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单次操作耗时缩短达 70%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。在全厂/全站停送电等大规模启动场景中，</w:t>
      </w:r>
      <w:r>
        <w:rPr>
          <w:rFonts w:ascii="宋体" w:hAnsi="Times New Roman" w:eastAsia="宋体"/>
          <w:b/>
          <w:i w:val="false"/>
          <w:color w:val="004347"/>
          <w:sz w:val="22"/>
        </w:rPr>
        <w:t>累计启动耗时可缩短 10 小时以上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。从整体运维维度看，系统能带来约 </w:t>
      </w:r>
      <w:r>
        <w:rPr>
          <w:rFonts w:ascii="宋体" w:hAnsi="Times New Roman" w:eastAsia="宋体"/>
          <w:b/>
          <w:i w:val="false"/>
          <w:color w:val="004347"/>
          <w:sz w:val="22"/>
        </w:rPr>
        <w:t>30% 的综合效率增益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3"/>
    <w:bookmarkStart w:name="u34498880" w:id="34"/>
    <w:p>
      <w:pPr>
        <w:spacing w:after="50" w:line="360" w:lineRule="auto" w:beforeLines="100"/>
        <w:ind w:left="0"/>
        <w:jc w:val="left"/>
      </w:pPr>
      <w:bookmarkStart w:name="RkOGD" w:id="35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9612a5764b761e3173197ecec8761c33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安全是实现“一键”操作的前提。系统通过深度集成 AI 与机械保护逻辑，构建了全方位的安全防线：</w:t>
      </w:r>
    </w:p>
    <w:bookmarkEnd w:id="36"/>
    <w:bookmarkStart w:name="4072c3ffa9ae0a28a7ce2f7e2dd77c4b" w:id="3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双辅助判据（AI 视频识别）：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除了传统的电信号位置反馈，系统通过摄像头采集实时画面。利用 AI 图像比对算法，对开关位置及接地刀触头状态进行二次确认。识别结果直接上传后台并嵌入逻辑控制回路，实现“双重校验”。</w:t>
      </w:r>
    </w:p>
    <w:bookmarkEnd w:id="37"/>
    <w:bookmarkStart w:name="u488e628c" w:id="38"/>
    <w:p>
      <w:pPr>
        <w:spacing w:after="50" w:line="360" w:lineRule="auto" w:beforeLines="100"/>
        <w:ind w:left="0"/>
        <w:jc w:val="left"/>
      </w:pPr>
      <w:bookmarkStart w:name="u8b94ce67" w:id="39"/>
      <w:r>
        <w:rPr>
          <w:rFonts w:eastAsia="宋体" w:ascii="宋体"/>
        </w:rPr>
        <w:drawing>
          <wp:inline distT="0" distB="0" distL="0" distR="0">
            <wp:extent cx="5841999" cy="325983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0" cy="318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c00b96cd24da69977881369803439d82" w:id="4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电机保护与自愈逻辑：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针对底盘车等电动机构，系统支持“软启软停”以降低机械冲击。当发生电机堵转（如机构阻滞）时，系统遵循以下分级保护：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堵转停止 -&gt; 自动反转退回初始位置 -&gt; 二次堵转时硬停止并发出告警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0"/>
    <w:bookmarkStart w:name="69e56bdcdf2f7de98f895a771ebc6198" w:id="41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离合装置：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电动机构必须配备</w:t>
      </w:r>
      <w:r>
        <w:rPr>
          <w:rFonts w:ascii="宋体" w:hAnsi="Times New Roman" w:eastAsia="宋体"/>
          <w:b/>
          <w:i w:val="false"/>
          <w:color w:val="004347"/>
          <w:sz w:val="22"/>
        </w:rPr>
        <w:t>手动/自动离合装置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。当进行手动操作时，离合器可实现自动切换并与电动操作互为闭锁，确保维护过程中的人机安全。</w:t>
      </w:r>
    </w:p>
    <w:bookmarkEnd w:id="41"/>
    <w:bookmarkStart w:name="u937cb21a" w:id="42"/>
    <w:p>
      <w:pPr>
        <w:spacing w:after="50" w:line="360" w:lineRule="auto" w:beforeLines="100"/>
        <w:ind w:left="0"/>
        <w:jc w:val="left"/>
      </w:pPr>
      <w:bookmarkStart w:name="XyQyq" w:id="43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e78b7a6ebeb36ff1436708ce295cef7d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实现高度智能化的顺控，离合、测控与监测硬件的精密配合缺一不可。以典型项目为例，其硬件矩阵包括：</w:t>
      </w:r>
    </w:p>
    <w:bookmarkEnd w:id="44"/>
    <w:bookmarkStart w:name="76055b3c2309c4ddee195a6ad13a7996" w:id="4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智能开关柜测控终端（SR-IED）：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系统核心，支持 </w:t>
      </w:r>
      <w:r>
        <w:rPr>
          <w:rFonts w:ascii="宋体" w:hAnsi="Times New Roman" w:eastAsia="宋体"/>
          <w:b/>
          <w:i w:val="false"/>
          <w:color w:val="004347"/>
          <w:sz w:val="22"/>
        </w:rPr>
        <w:t>IEC 61850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通讯协议，集成电气参数测量与一键顺控开入开出量。</w:t>
      </w:r>
    </w:p>
    <w:bookmarkEnd w:id="45"/>
    <w:bookmarkStart w:name="12458775531af5413932e26a6df7ff49" w:id="4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智能边缘网关（kgg-01）：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负责数据汇聚，并通过以太网或 </w:t>
      </w:r>
      <w:r>
        <w:rPr>
          <w:rFonts w:ascii="宋体" w:hAnsi="Times New Roman" w:eastAsia="宋体"/>
          <w:b/>
          <w:i w:val="false"/>
          <w:color w:val="004347"/>
          <w:sz w:val="22"/>
        </w:rPr>
        <w:t>EC104 规约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将遥测遥信数据转发至厂站控制中心。</w:t>
      </w:r>
    </w:p>
    <w:bookmarkEnd w:id="46"/>
    <w:bookmarkStart w:name="467d471f33a99a79c166bc7643056501" w:id="47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机械特性监测单元（SR-MECH）：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具备“专家诊断”能力，通过霍尔传感器与位移传感器，实时分析</w:t>
      </w:r>
      <w:r>
        <w:rPr>
          <w:rFonts w:ascii="宋体" w:hAnsi="Times New Roman" w:eastAsia="宋体"/>
          <w:b/>
          <w:i w:val="false"/>
          <w:color w:val="004347"/>
          <w:sz w:val="22"/>
        </w:rPr>
        <w:t>线圈电流波形、合分闸速度、开距及超程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，预测设备寿命。</w:t>
      </w:r>
    </w:p>
    <w:bookmarkEnd w:id="47"/>
    <w:bookmarkStart w:name="36cd060aa2d25f394eb90631a2efbfc5" w:id="4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三工位控制器（SR-MOTO）：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专门负责控制断路器、底盘车与接地刀的电动执行。</w:t>
      </w:r>
    </w:p>
    <w:bookmarkEnd w:id="48"/>
    <w:bookmarkStart w:name="4f8d29b4139ea4963a1a1d2495b9ec2b" w:id="4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可视化监控（SR-2010S）：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具备夜视功能与 AI 识别能力的摄像头矩阵。</w:t>
      </w:r>
    </w:p>
    <w:bookmarkEnd w:id="49"/>
    <w:bookmarkStart w:name="65aef9b4d9f26c47d9ce93210b3043b1" w:id="50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本地交互终端（SR-HMI 10）：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10 寸彩色触摸屏，提供就地顺控操控界面与实时波形展示。</w:t>
      </w:r>
    </w:p>
    <w:bookmarkEnd w:id="50"/>
    <w:bookmarkStart w:name="u884b5a8f" w:id="51"/>
    <w:p>
      <w:pPr>
        <w:spacing w:after="50" w:line="360" w:lineRule="auto" w:beforeLines="100"/>
        <w:ind w:left="0"/>
        <w:jc w:val="left"/>
      </w:pPr>
      <w:bookmarkStart w:name="OBK2G" w:id="52"/>
      <w:r>
        <w:rPr>
          <w:rFonts w:eastAsia="宋体" w:ascii="宋体"/>
        </w:rPr>
        <w:drawing>
          <wp:inline distT="0" distB="0" distL="0" distR="0">
            <wp:extent cx="5841999" cy="325983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0" cy="318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ddae68cb" w:id="53"/>
    <w:p>
      <w:pPr>
        <w:spacing w:after="50" w:line="360" w:lineRule="auto" w:beforeLines="100"/>
        <w:ind w:left="0"/>
        <w:jc w:val="left"/>
      </w:pPr>
      <w:bookmarkStart w:name="HVvtx" w:id="5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8f646cffc6ed6bb23a91150ca45701ec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随着电力物联网技术的深入，一键顺控正迎来两个重要的演进方向：</w:t>
      </w:r>
    </w:p>
    <w:bookmarkEnd w:id="55"/>
    <w:bookmarkStart w:name="9e1cf3ef2a3a7cd891ebb42ca2726adf" w:id="56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空间维度的跃迁：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从单站本地操作向“集控中心 + 远方一键顺控”跨越，实现跨间隔、跨站点的远程集中管控。</w:t>
      </w:r>
    </w:p>
    <w:bookmarkEnd w:id="56"/>
    <w:bookmarkStart w:name="fa7dfa724d281240ef2ef5cde3e9179b" w:id="57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决策维度的升级：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系统将从简单的“固定顺序执行”进化为具备“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态势感知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</w:t>
      </w:r>
      <w:r>
        <w:rPr>
          <w:rFonts w:ascii="宋体" w:hAnsi="Times New Roman" w:eastAsia="宋体"/>
          <w:b/>
          <w:i w:val="false"/>
          <w:color w:val="000000"/>
          <w:sz w:val="22"/>
        </w:rPr>
        <w:t>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智能决策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”能力的进阶形态。通过在线仿真，系统可对操作票进行实时风险评估；在发生突发异常时，系统能基于全景状态感自适应调整操作步骤，真正实现区域级乃至网架级的智能化协同。</w:t>
      </w:r>
    </w:p>
    <w:bookmarkEnd w:id="57"/>
    <w:bookmarkStart w:name="u35cf37b8" w:id="58"/>
    <w:p>
      <w:pPr>
        <w:spacing w:after="50" w:line="360" w:lineRule="auto" w:beforeLines="100"/>
        <w:ind w:left="0"/>
        <w:jc w:val="left"/>
      </w:pPr>
      <w:bookmarkStart w:name="u84891859" w:id="59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33cab519" w:id="60"/>
    <w:p>
      <w:pPr>
        <w:spacing w:after="50" w:line="360" w:lineRule="auto" w:beforeLines="100"/>
        <w:ind w:left="0"/>
        <w:jc w:val="left"/>
      </w:pPr>
      <w:bookmarkStart w:name="u23df1d88" w:id="61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  <w:bookmarkStart w:name="u88d305b8" w:id="62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0"/>
    <w:bookmarkStart w:name="u2d29b052" w:id="63"/>
    <w:p>
      <w:pPr>
        <w:spacing w:after="50" w:line="360" w:lineRule="auto" w:beforeLines="100"/>
        <w:ind w:left="0"/>
        <w:jc w:val="left"/>
      </w:pPr>
      <w:bookmarkStart w:name="ue16fd594" w:id="64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565c4b8b" w:id="65"/>
    <w:p>
      <w:pPr>
        <w:spacing w:after="50" w:line="360" w:lineRule="auto" w:beforeLines="100"/>
        <w:ind w:left="0"/>
        <w:jc w:val="left"/>
      </w:pPr>
      <w:bookmarkStart w:name="ukM5L" w:id="66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30004c3d76a5eea99df7d5a012e5c736" w:id="67"/>
    <w:p>
      <w:pPr>
        <w:spacing w:after="50" w:line="360" w:lineRule="auto" w:beforeLines="100"/>
        <w:ind w:left="0"/>
        <w:jc w:val="left"/>
      </w:pPr>
      <w:bookmarkStart w:name="uca29c148" w:id="68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  <w:bookmarkStart w:name="u80b91108" w:id="6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  <w:bookmarkStart w:name="u43e29557" w:id="7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  <w:bookmarkStart w:name="u4d07df56" w:id="7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  <w:bookmarkStart w:name="uac9734ea" w:id="72"/>
      <w:r>
        <w:rPr>
          <w:rFonts w:eastAsia="宋体" w:ascii="宋体"/>
        </w:rPr>
        <w:drawing>
          <wp:inline distT="0" distB="0" distL="0" distR="0">
            <wp:extent cx="5841999" cy="28683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1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6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