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【轨物洞见】传感器也会“撒谎”：为什么单靠电气信号的一键顺控是在给运维埋雷？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iSwOf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62e60174f52de57293468b2e982afa1a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在国家电网与南方电网全面推行智能变电站建设的浪潮下，“一键顺控”技术已成为开关柜操作的标配。通过“操作票程序化+一键启动”，运维工作实现了从“人工跑腿”到“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后台鼠标操作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质变。然而，在繁华的技术指标背后，运维现场却隐藏着一颗“隐形地雷”：当监控系统显示的“操作成功”与现场设备的物理状态不一致时，这种由传感器误报引发的“虚假位移信号”，往往会演变成重大的安全灾难。</w:t>
      </w:r>
    </w:p>
    <w:bookmarkEnd w:id="2"/>
    <w:bookmarkStart w:name="u16b91f3f" w:id="3"/>
    <w:p>
      <w:pPr>
        <w:spacing w:after="50" w:line="360" w:lineRule="auto" w:beforeLines="100"/>
        <w:ind w:left="0"/>
        <w:jc w:val="left"/>
      </w:pPr>
      <w:bookmarkStart w:name="u020607d2" w:id="4"/>
      <w:r>
        <w:rPr>
          <w:rFonts w:eastAsia="宋体" w:ascii="宋体"/>
        </w:rPr>
        <w:drawing>
          <wp:inline distT="0" distB="0" distL="0" distR="0">
            <wp:extent cx="5841999" cy="32598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18134" cy="1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d0afb76c49370d0c89f81a62a7c5fc68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作为智能电网运维专家，我们必须正视一个事实：传感器是会“撒谎”的。</w:t>
      </w:r>
    </w:p>
    <w:bookmarkEnd w:id="5"/>
    <w:bookmarkStart w:name="ueb38b5ec" w:id="6"/>
    <w:p>
      <w:pPr>
        <w:spacing w:after="50" w:line="360" w:lineRule="auto" w:beforeLines="100"/>
        <w:ind w:left="0"/>
        <w:jc w:val="left"/>
      </w:pPr>
      <w:bookmarkStart w:name="uc8921ac8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8dacbc264bb6cd0f6562dd4325796aca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要规避运维风险，首先要理解一键顺控（One-Key Sequential Control）的核心严谨逻辑。系统通过对</w:t>
      </w:r>
      <w:r>
        <w:rPr>
          <w:rFonts w:ascii="宋体" w:hAnsi="Times New Roman" w:eastAsia="宋体"/>
          <w:b/>
          <w:i w:val="false"/>
          <w:color w:val="000000"/>
          <w:sz w:val="22"/>
        </w:rPr>
        <w:t>SR-IED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智能测控终端、</w:t>
      </w:r>
      <w:r>
        <w:rPr>
          <w:rFonts w:ascii="宋体" w:hAnsi="Times New Roman" w:eastAsia="宋体"/>
          <w:b/>
          <w:i w:val="false"/>
          <w:color w:val="004347"/>
          <w:sz w:val="22"/>
        </w:rPr>
        <w:t>SR-MOTO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控制器及相关组件的协同，管理开关柜的四个核心运行状态：</w:t>
      </w:r>
    </w:p>
    <w:bookmarkEnd w:id="8"/>
    <w:bookmarkStart w:name="fd4e95edcd28c788ecfc80ee87c9a210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运行态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断路器在合位、手车在工作位置、接地刀在分位。</w:t>
      </w:r>
    </w:p>
    <w:bookmarkEnd w:id="9"/>
    <w:bookmarkStart w:name="7f823b80fe24f90257c4231648d51e3d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热备态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断路器在分位、手车在工作位置、接地刀在分位。</w:t>
      </w:r>
    </w:p>
    <w:bookmarkEnd w:id="10"/>
    <w:bookmarkStart w:name="db02b43c08b6857ec972d2637b579845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冷备态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断路器在分位、手车在试验位置、接地刀在分位。</w:t>
      </w:r>
    </w:p>
    <w:bookmarkEnd w:id="11"/>
    <w:bookmarkStart w:name="21ddf67f4bbacdeb4b02f2eb922391bc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检修态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断路器在分位、手车在试验位置、接地刀在合位。</w:t>
      </w:r>
    </w:p>
    <w:bookmarkEnd w:id="12"/>
    <w:bookmarkStart w:name="755840771d4d8f1410241be6a39fb825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为了确保状态切换的绝对可靠，系统引入了</w:t>
      </w:r>
      <w:r>
        <w:rPr>
          <w:rFonts w:ascii="宋体" w:hAnsi="Times New Roman" w:eastAsia="宋体"/>
          <w:b/>
          <w:i w:val="false"/>
          <w:color w:val="004347"/>
          <w:sz w:val="22"/>
        </w:rPr>
        <w:t>状态充电时间（Tcd）四大操作流程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</w:p>
    <w:bookmarkEnd w:id="13"/>
    <w:bookmarkStart w:name="e0d414a60ab5a90fb0ba5fbccf625285" w:id="14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转运行流程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拉开接地刀 → 摇进底盘车至工作位置 → 合上断路器。</w:t>
      </w:r>
    </w:p>
    <w:bookmarkEnd w:id="14"/>
    <w:bookmarkStart w:name="485a47c81fa59c26360dd7e31fdf96dc" w:id="1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转检修流程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断开断路器 → 摇出底盘车至试验位置 → 合上接地刀。</w:t>
      </w:r>
    </w:p>
    <w:bookmarkEnd w:id="15"/>
    <w:bookmarkStart w:name="99a599fce06e48a2aef4ebcc3639cb61" w:id="1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转冷备流程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断开断路器 → 摇出底盘车至试验位置。</w:t>
      </w:r>
    </w:p>
    <w:bookmarkEnd w:id="16"/>
    <w:bookmarkStart w:name="94e7d13dcdeef3ec2e11c90baa35673c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转热备流程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断开断路器。</w:t>
      </w:r>
    </w:p>
    <w:bookmarkEnd w:id="17"/>
    <w:bookmarkStart w:name="u8a1568ba" w:id="18"/>
    <w:p>
      <w:pPr>
        <w:spacing w:after="50" w:line="360" w:lineRule="auto" w:beforeLines="100"/>
        <w:ind w:left="0"/>
        <w:jc w:val="left"/>
      </w:pPr>
      <w:bookmarkStart w:name="u2de45a56" w:id="19"/>
      <w:r>
        <w:rPr>
          <w:rFonts w:eastAsia="宋体" w:ascii="宋体"/>
        </w:rPr>
        <w:drawing>
          <wp:inline distT="0" distB="0" distL="0" distR="0">
            <wp:extent cx="5841999" cy="32598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18134" cy="1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a55d76cc" w:id="20"/>
    <w:p>
      <w:pPr>
        <w:spacing w:after="50" w:line="360" w:lineRule="auto" w:beforeLines="100"/>
        <w:ind w:left="0"/>
        <w:jc w:val="left"/>
      </w:pPr>
      <w:bookmarkStart w:name="A6jP0" w:id="21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57ba9b332a294025d31411aea5ecceb8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在一键顺控系统中，虽然配备了由3个霍尔传感器和1个位移传感器组成的</w:t>
      </w:r>
      <w:r>
        <w:rPr>
          <w:rFonts w:ascii="宋体" w:hAnsi="Times New Roman" w:eastAsia="宋体"/>
          <w:b/>
          <w:i w:val="false"/>
          <w:color w:val="004347"/>
          <w:sz w:val="22"/>
        </w:rPr>
        <w:t>SR-MECH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机械特性监测单元，以及关键的</w:t>
      </w:r>
      <w:r>
        <w:rPr>
          <w:rFonts w:ascii="宋体" w:hAnsi="Times New Roman" w:eastAsia="宋体"/>
          <w:b/>
          <w:i w:val="false"/>
          <w:color w:val="004347"/>
          <w:sz w:val="22"/>
        </w:rPr>
        <w:t>Kgg-03角度传感器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，但在恶劣的电力运行环境下，物理盲区依然存在。</w:t>
      </w:r>
    </w:p>
    <w:bookmarkEnd w:id="22"/>
    <w:bookmarkStart w:name="u1c16e5b9" w:id="23"/>
    <w:p>
      <w:pPr>
        <w:spacing w:after="50" w:line="360" w:lineRule="auto" w:beforeLines="100"/>
        <w:ind w:left="0"/>
        <w:jc w:val="left"/>
      </w:pPr>
      <w:bookmarkStart w:name="uc1ccfe8b" w:id="24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892f324d1dbfdc596e11a77ec75263ed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“撒谎”的根源：</w:t>
      </w:r>
    </w:p>
    <w:bookmarkEnd w:id="25"/>
    <w:bookmarkStart w:name="d41d0b2690fa235887900179ff28314a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机械卡涩与润滑失效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由于开关柜长期运行，机构可能出现机械卡涩。此时，电机虽然带电运转，但机构可能停滞在半途。由于物理触点的虚假接触或偏离，传感器可能产生“信号滞后”，向后台上报错误的到位指令。</w:t>
      </w:r>
    </w:p>
    <w:bookmarkEnd w:id="26"/>
    <w:bookmarkStart w:name="2658b8235af281aa56c665dbba5d0132" w:id="2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环境侵蚀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高湿度环境会导致电气腐蚀，产生干扰信号。</w:t>
      </w:r>
    </w:p>
    <w:bookmarkEnd w:id="27"/>
    <w:bookmarkStart w:name="24d77fc12ac1dbc5b351457bd40ee30b" w:id="2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盲目依赖的代价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一旦运维人员盲目信任单一传感信号，极易发生“带负荷摇动手车”或“带接地刀合闸”等恶性误操作，导致设备爆燃甚至人员伤亡。</w:t>
      </w:r>
    </w:p>
    <w:bookmarkEnd w:id="28"/>
    <w:bookmarkStart w:name="u499e0b9a" w:id="29"/>
    <w:p>
      <w:pPr>
        <w:spacing w:after="50" w:line="360" w:lineRule="auto" w:beforeLines="100"/>
        <w:ind w:left="0"/>
        <w:jc w:val="left"/>
      </w:pPr>
      <w:bookmarkStart w:name="hgtCG" w:id="30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93454a5ac7763c08665cb83ba7193d6c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为了终结传感器“孤证不立”的困境，系统引入了以</w:t>
      </w:r>
      <w:r>
        <w:rPr>
          <w:rFonts w:ascii="宋体" w:hAnsi="Times New Roman" w:eastAsia="宋体"/>
          <w:b/>
          <w:i w:val="false"/>
          <w:color w:val="004347"/>
          <w:sz w:val="22"/>
        </w:rPr>
        <w:t>SR-2010S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单摄像头视频监控装置为核心的视觉防御体系。</w:t>
      </w:r>
    </w:p>
    <w:bookmarkEnd w:id="31"/>
    <w:bookmarkStart w:name="1e43b981a2f5c43d5c5ac537e30fcd81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这不仅仅是“远程看视频”，而是基于AI算法的“双辅助判据”机制。系统将AI识别结果与电气信号进行实时双校核（Double-check）：</w:t>
      </w:r>
    </w:p>
    <w:bookmarkEnd w:id="32"/>
    <w:bookmarkStart w:name="u350eaafc" w:id="33"/>
    <w:p>
      <w:pPr>
        <w:spacing w:after="50" w:line="360" w:lineRule="auto" w:beforeLines="100"/>
        <w:ind w:left="0"/>
        <w:jc w:val="left"/>
      </w:pPr>
      <w:bookmarkStart w:name="uaca06d6a" w:id="34"/>
      <w:r>
        <w:rPr>
          <w:rFonts w:eastAsia="宋体" w:ascii="宋体"/>
        </w:rPr>
        <w:drawing>
          <wp:inline distT="0" distB="0" distL="0" distR="0">
            <wp:extent cx="5841999" cy="58417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166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681b53797bf871c4298e1f2a362dbff1" w:id="3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图像比对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AI通过摄像头实时捕捉断路器室及电缆室的物理画面，识别接地刀和手车的真实物理位置。</w:t>
      </w:r>
    </w:p>
    <w:bookmarkEnd w:id="35"/>
    <w:bookmarkStart w:name="48249e7bba34eabb556960c19b6304f1" w:id="3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二次确认逻辑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当电气信号显示“到位”时，</w:t>
      </w:r>
      <w:r>
        <w:rPr>
          <w:rFonts w:ascii="宋体" w:hAnsi="Times New Roman" w:eastAsia="宋体"/>
          <w:b/>
          <w:i w:val="false"/>
          <w:color w:val="004347"/>
          <w:sz w:val="22"/>
        </w:rPr>
        <w:t>SR-ISEDS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可视化系统必须通过AI画面确认物理位移是否真实发生。只有当“视觉+信号”达成一致，系统才被允许执行下一步操作。这种“眼见为实”的逻辑，是防止“带负荷操作”的最后一道硬闭锁。</w:t>
      </w:r>
    </w:p>
    <w:bookmarkEnd w:id="36"/>
    <w:bookmarkStart w:name="uf77b767c" w:id="37"/>
    <w:p>
      <w:pPr>
        <w:spacing w:after="50" w:line="360" w:lineRule="auto" w:beforeLines="100"/>
        <w:ind w:left="0"/>
        <w:jc w:val="left"/>
      </w:pPr>
      <w:bookmarkStart w:name="xNSxL" w:id="38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cee83bb3fdac959562b3531311ede501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在一键顺控的执行过程中，</w:t>
      </w:r>
      <w:r>
        <w:rPr>
          <w:rFonts w:ascii="宋体" w:hAnsi="Times New Roman" w:eastAsia="宋体"/>
          <w:b/>
          <w:i w:val="false"/>
          <w:color w:val="004347"/>
          <w:sz w:val="22"/>
        </w:rPr>
        <w:t>SR-ISEDS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可视化系统不仅仅是监控者，更是具备“智能决策”能力的专家。</w:t>
      </w:r>
    </w:p>
    <w:bookmarkEnd w:id="39"/>
    <w:bookmarkStart w:name="e5f8e5aab1850776a797921d733256ad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电机堵转保护与自适应逻辑：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当AI视觉监测到机构位移停滞，或系统通过</w:t>
      </w:r>
      <w:r>
        <w:rPr>
          <w:rFonts w:ascii="宋体" w:hAnsi="Times New Roman" w:eastAsia="宋体"/>
          <w:b/>
          <w:i w:val="false"/>
          <w:color w:val="004347"/>
          <w:sz w:val="22"/>
        </w:rPr>
        <w:t>Kgg-03角度传感器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监测到超程、开距异常，以及</w:t>
      </w:r>
      <w:r>
        <w:rPr>
          <w:rFonts w:ascii="宋体" w:hAnsi="Times New Roman" w:eastAsia="宋体"/>
          <w:b/>
          <w:i w:val="false"/>
          <w:color w:val="004347"/>
          <w:sz w:val="22"/>
        </w:rPr>
        <w:t>SR-MOTO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监测到电机电流瞬时增大（堵转）时，系统会启动强力的闭环保护：</w:t>
      </w:r>
    </w:p>
    <w:bookmarkEnd w:id="40"/>
    <w:bookmarkStart w:name="ud549f822" w:id="41"/>
    <w:p>
      <w:pPr>
        <w:spacing w:after="50" w:line="360" w:lineRule="auto" w:beforeLines="100"/>
        <w:ind w:left="0"/>
        <w:jc w:val="left"/>
      </w:pPr>
      <w:bookmarkStart w:name="uf00c82f2" w:id="42"/>
      <w:r>
        <w:rPr>
          <w:rFonts w:eastAsia="宋体" w:ascii="宋体"/>
        </w:rPr>
        <w:drawing>
          <wp:inline distT="0" distB="0" distL="0" distR="0">
            <wp:extent cx="5842000" cy="3253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433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5a49086738f3181a455b2785c61f4bd8" w:id="43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一票否决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一旦AI识别结果与电信号不符，系统立即行使“否决权”，强行叫停操作。</w:t>
      </w:r>
    </w:p>
    <w:bookmarkEnd w:id="43"/>
    <w:bookmarkStart w:name="0a65d1063c74228659f01f1a83ea96fa" w:id="44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反转复位机制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系统会控制电机执行“停止 → 反转”，使底盘车或接地刀强制退回至</w:t>
      </w:r>
      <w:r>
        <w:rPr>
          <w:rFonts w:ascii="宋体" w:hAnsi="Times New Roman" w:eastAsia="宋体"/>
          <w:b/>
          <w:i w:val="false"/>
          <w:color w:val="004347"/>
          <w:sz w:val="22"/>
        </w:rPr>
        <w:t>初始位置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并发出告警。</w:t>
      </w:r>
    </w:p>
    <w:bookmarkEnd w:id="44"/>
    <w:bookmarkStart w:name="37f99e8f02bb23d00c10f9a09f2403a2" w:id="4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专家诊断（Reasoning &amp; Inference）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系统会结合T1-T7时间定值、电压波动和电流曲线进行“原因推断”，判定是瞬时电压波动还是机械异物阻碍，并由</w:t>
      </w:r>
      <w:r>
        <w:rPr>
          <w:rFonts w:ascii="宋体" w:hAnsi="Times New Roman" w:eastAsia="宋体"/>
          <w:b/>
          <w:i w:val="false"/>
          <w:color w:val="004347"/>
          <w:sz w:val="22"/>
        </w:rPr>
        <w:t>SR-HMI 10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本地屏实时提示处置建议。</w:t>
      </w:r>
    </w:p>
    <w:bookmarkEnd w:id="45"/>
    <w:bookmarkStart w:name="u69b228e2" w:id="46"/>
    <w:p>
      <w:pPr>
        <w:spacing w:after="50" w:line="360" w:lineRule="auto" w:beforeLines="100"/>
        <w:ind w:left="0"/>
        <w:jc w:val="left"/>
      </w:pPr>
      <w:bookmarkStart w:name="S3xuw" w:id="47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7d64421b01c6b5d7c422ae38bddb422b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从“单站本地顺控”向“智能决策+态势感知”演进，是电力运维的必然路径。我们必须清醒地认识到：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安全不应建立在对单一信号的信任之上，而应建立在“视觉还原现实”的逻辑之上。</w:t>
      </w:r>
    </w:p>
    <w:bookmarkEnd w:id="48"/>
    <w:bookmarkStart w:name="b51436fa47f0c55465f6eba9e2e1d076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通过将</w:t>
      </w:r>
      <w:r>
        <w:rPr>
          <w:rFonts w:ascii="宋体" w:hAnsi="Times New Roman" w:eastAsia="宋体"/>
          <w:b/>
          <w:i w:val="false"/>
          <w:color w:val="004347"/>
          <w:sz w:val="22"/>
        </w:rPr>
        <w:t>SR-IED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测控终端的精准控制与AI视觉的“双辅助判据”深度融合，我们赋予了开关柜“看得见、听得懂、会思考”的能力。只有消除传感信号的盲区，让系统在面对异常时敢于“说不”，才能真正守护无人值守变电站的安全底线，为新型电力系统建设提供坚实的数字防线。</w:t>
      </w:r>
    </w:p>
    <w:bookmarkEnd w:id="49"/>
    <w:bookmarkStart w:name="7651262c2e138e4b86bd4cbfa565372b" w:id="50"/>
    <w:p>
      <w:pPr>
        <w:spacing w:after="50" w:line="360" w:lineRule="auto" w:beforeLines="100"/>
        <w:ind w:left="0"/>
        <w:jc w:val="left"/>
      </w:pPr>
      <w:bookmarkStart w:name="u84891859" w:id="51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33cab519" w:id="52"/>
    <w:p>
      <w:pPr>
        <w:spacing w:after="50" w:line="360" w:lineRule="auto" w:beforeLines="100"/>
        <w:ind w:left="0"/>
        <w:jc w:val="left"/>
      </w:pPr>
      <w:bookmarkStart w:name="u23df1d88" w:id="53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  <w:bookmarkStart w:name="u88d305b8" w:id="54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2"/>
    <w:bookmarkStart w:name="u2d29b052" w:id="55"/>
    <w:p>
      <w:pPr>
        <w:spacing w:after="50" w:line="360" w:lineRule="auto" w:beforeLines="100"/>
        <w:ind w:left="0"/>
        <w:jc w:val="left"/>
      </w:pPr>
      <w:bookmarkStart w:name="ue16fd594" w:id="56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a562738e" w:id="57"/>
    <w:p>
      <w:pPr>
        <w:spacing w:after="50" w:line="360" w:lineRule="auto" w:beforeLines="100"/>
        <w:ind w:left="0"/>
        <w:jc w:val="left"/>
      </w:pPr>
      <w:bookmarkStart w:name="pAQgQ" w:id="58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565c4b8b" w:id="59"/>
    <w:p>
      <w:pPr>
        <w:spacing w:after="50" w:line="360" w:lineRule="auto" w:beforeLines="100"/>
        <w:ind w:left="0"/>
        <w:jc w:val="left"/>
      </w:pPr>
      <w:bookmarkStart w:name="ufcb249cf" w:id="60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  <w:bookmarkStart w:name="u619e7d96" w:id="61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  <w:bookmarkStart w:name="u4e5912f2" w:id="62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  <w:bookmarkStart w:name="ua8d7d0cb" w:id="63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  <w:bookmarkStart w:name="ud267e0ce" w:id="64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5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