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【轨物洞见】别再为“健康”的设备拆机：专家诊断系统如何终结运维商的无效检修支出？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lC2dA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a3ff073d" w:id="2"/>
    <w:p>
      <w:pPr>
        <w:spacing w:after="50" w:line="360" w:lineRule="auto" w:beforeLines="100"/>
        <w:ind w:left="0"/>
        <w:jc w:val="left"/>
      </w:pPr>
      <w:bookmarkStart w:name="u6b4de5a5" w:id="3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62fe5d50a32368acd8465276b23d0c8d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机场、大型矿山及工业变电站的运维实践中，传统的“计划性检修”正演变为一种沉重的财务负担。这种基于固定周期的停电拆机模式，虽然在历史上起到过保障作用，但在现代资产管理视角下，其弊端已成为剥蚀运维利润的“隐形成客”。</w:t>
      </w:r>
    </w:p>
    <w:bookmarkEnd w:id="4"/>
    <w:bookmarkStart w:name="u790bf115" w:id="5"/>
    <w:p>
      <w:pPr>
        <w:spacing w:after="50" w:line="360" w:lineRule="auto" w:beforeLines="100"/>
        <w:ind w:left="0"/>
        <w:jc w:val="left"/>
      </w:pPr>
      <w:bookmarkStart w:name="ua426b7b1" w:id="6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5b9569efc845b068f7046ae6d86673f2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首先，</w:t>
      </w:r>
      <w:r>
        <w:rPr>
          <w:rFonts w:ascii="宋体" w:hAnsi="Times New Roman" w:eastAsia="宋体"/>
          <w:b/>
          <w:i w:val="false"/>
          <w:color w:val="004347"/>
          <w:sz w:val="22"/>
        </w:rPr>
        <w:t>过度维护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导致了资源的严重错配。统计显示，大量处于优良健康状态的设备在检修周期内被盲目拆解，这不仅产生了高昂的人力与备件支出，更因频繁干扰机械稳态而引入了不必要的人为故障风险。其次，</w:t>
      </w:r>
      <w:r>
        <w:rPr>
          <w:rFonts w:ascii="宋体" w:hAnsi="Times New Roman" w:eastAsia="宋体"/>
          <w:b/>
          <w:i w:val="false"/>
          <w:color w:val="004347"/>
          <w:sz w:val="22"/>
        </w:rPr>
        <w:t>漏检风险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依然高企，静态的周期检查无法捕捉运行状态下的瞬态疲劳。</w:t>
      </w:r>
    </w:p>
    <w:bookmarkEnd w:id="7"/>
    <w:bookmarkStart w:name="bbbc7f58c1a074086ddac79568fdc6eb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对于技术决策者而言，从“计划检修”向“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状态检修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”转型已非选项，而是技术必然。通过高频次的底层数据挖掘实现精准干预，是重塑运维利润、提升设备全生命周期价值（LCC）的唯一路径。</w:t>
      </w:r>
    </w:p>
    <w:bookmarkEnd w:id="8"/>
    <w:bookmarkStart w:name="u8e69d7bb" w:id="9"/>
    <w:p>
      <w:pPr>
        <w:spacing w:after="50" w:line="360" w:lineRule="auto" w:beforeLines="100"/>
        <w:ind w:left="0"/>
        <w:jc w:val="left"/>
      </w:pPr>
      <w:bookmarkStart w:name="LtmWb" w:id="10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e71cca12632253caa13cb93caac1af88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实现“状态检修”的第一步是构建精准的物理健康画像。我们采用的硬件架构方案，以 </w:t>
      </w:r>
      <w:r>
        <w:rPr>
          <w:rFonts w:ascii="宋体" w:hAnsi="Times New Roman" w:eastAsia="宋体"/>
          <w:b/>
          <w:i w:val="false"/>
          <w:color w:val="004347"/>
          <w:sz w:val="22"/>
        </w:rPr>
        <w:t>SR-MECH 机械特性监测单元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为传感核心度集成于开关柜的一次机构中。</w:t>
      </w:r>
    </w:p>
    <w:bookmarkEnd w:id="11"/>
    <w:bookmarkStart w:name="accf2d31c0cd80fffa1fb98f475a963c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该单元的硬件构成极其严谨：包含 </w:t>
      </w:r>
      <w:r>
        <w:rPr>
          <w:rFonts w:ascii="宋体" w:hAnsi="Times New Roman" w:eastAsia="宋体"/>
          <w:b/>
          <w:i w:val="false"/>
          <w:color w:val="004347"/>
          <w:sz w:val="22"/>
        </w:rPr>
        <w:t>3个开合式霍尔电流传感器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与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1个关键的角度位移传感器（Kgg-03）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值得注意的是，为了保证工业级的高可靠性与低干扰，Kgg-03 传感器由智能边缘网关直接提供 5V 定向供电。这种高频采集方案能够捕捉断路器动作瞬间的微秒级变化。</w:t>
      </w:r>
    </w:p>
    <w:bookmarkEnd w:id="12"/>
    <w:bookmarkStart w:name="u6bc80b83" w:id="13"/>
    <w:p>
      <w:pPr>
        <w:spacing w:after="50" w:line="360" w:lineRule="auto" w:beforeLines="100"/>
        <w:ind w:left="0"/>
        <w:jc w:val="left"/>
      </w:pPr>
      <w:bookmarkStart w:name="u949a2cff" w:id="14"/>
      <w:r>
        <w:rPr>
          <w:rFonts w:eastAsia="宋体" w:ascii="宋体"/>
        </w:rPr>
        <w:drawing>
          <wp:inline distT="0" distB="0" distL="0" distR="0">
            <wp:extent cx="5841999" cy="186603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0534" cy="190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778f8719c3a06c47f277679bccfc0843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所有原始物理信号均通过 RS485 或自定义协议实时汇聚至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Kgg-01 智能边缘网关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，由边缘端完成初步的数据清洗与逻辑映射，为上层专家诊断系统提供高纯度的“数字指纹”。</w:t>
      </w:r>
    </w:p>
    <w:bookmarkEnd w:id="15"/>
    <w:bookmarkStart w:name="u9a688836" w:id="16"/>
    <w:p>
      <w:pPr>
        <w:spacing w:after="50" w:line="360" w:lineRule="auto" w:beforeLines="100"/>
        <w:ind w:left="0"/>
        <w:jc w:val="left"/>
      </w:pPr>
      <w:bookmarkStart w:name="UVRkR" w:id="17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342caf8e35b5661df2d46903dd449cc6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如果说传感单元是“感官”，那么</w:t>
      </w:r>
      <w:r>
        <w:rPr>
          <w:rFonts w:ascii="宋体" w:hAnsi="Times New Roman" w:eastAsia="宋体"/>
          <w:b/>
          <w:i w:val="false"/>
          <w:color w:val="004347"/>
          <w:sz w:val="22"/>
        </w:rPr>
        <w:t>智能专家诊断系统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则是运维体系的决策大脑。作为系统架构师，我们强调边缘计算的战略意义：Kgg-01 边缘网关通过本地算法进行实时健康评估，确保在网络波动时依然能提供毫秒级的逻辑保护，而非单纯依赖延迟较高的云端分析。</w:t>
      </w:r>
    </w:p>
    <w:bookmarkEnd w:id="18"/>
    <w:bookmarkStart w:name="u6134c02c" w:id="19"/>
    <w:p>
      <w:pPr>
        <w:spacing w:after="50" w:line="360" w:lineRule="auto" w:beforeLines="100"/>
        <w:ind w:left="0"/>
        <w:jc w:val="left"/>
      </w:pPr>
      <w:bookmarkStart w:name="u05e4bc23" w:id="20"/>
      <w:r>
        <w:rPr>
          <w:rFonts w:eastAsia="宋体" w:ascii="宋体"/>
        </w:rPr>
        <w:drawing>
          <wp:inline distT="0" distB="0" distL="0" distR="0">
            <wp:extent cx="5842000" cy="3253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433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fb642d8abc986a411e065b798e998fec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该系统的工作逻辑在于：利用内置的专家模型对采集到的电流、位移、时间定值进行多维度比对。当系统识别出波形偏离健康基准线（如分闸时间延长 10% 或储能电流异常波动）时，会立即触发“趋势告警”，而非等到故障发生。这种</w:t>
      </w:r>
      <w:r>
        <w:rPr>
          <w:rFonts w:ascii="宋体" w:hAnsi="Times New Roman" w:eastAsia="宋体"/>
          <w:b/>
          <w:i w:val="false"/>
          <w:color w:val="004347"/>
          <w:sz w:val="22"/>
        </w:rPr>
        <w:t>精准干预机制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确保运维团队“只在必要时干预”，从源头上终结了无效的拆机检查。</w:t>
      </w:r>
    </w:p>
    <w:bookmarkEnd w:id="21"/>
    <w:bookmarkStart w:name="c899290963c4bb6e917aa89e67d55315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在交付界面上，系统通过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SR-HMI 10（10寸工业彩色触摸屏）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或站控层软件，直观呈现机械特性监测曲线与历史演变趋势。运维人员能够实现“可见即可诊”，将复杂的物理变化转化为清晰的“维护建议书”。</w:t>
      </w:r>
    </w:p>
    <w:bookmarkEnd w:id="22"/>
    <w:bookmarkStart w:name="u66c76883" w:id="23"/>
    <w:p>
      <w:pPr>
        <w:spacing w:after="50" w:line="360" w:lineRule="auto" w:beforeLines="100"/>
        <w:ind w:left="0"/>
        <w:jc w:val="left"/>
      </w:pPr>
      <w:bookmarkStart w:name="PnSF0" w:id="24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e36593a2a218f8c83e57ac7567cb5f96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在“诊”的基础上，更高效的“控”是提升运维效益的第二增长极。</w:t>
      </w:r>
      <w:r>
        <w:rPr>
          <w:rFonts w:ascii="宋体" w:hAnsi="Times New Roman" w:eastAsia="宋体"/>
          <w:b/>
          <w:i w:val="false"/>
          <w:color w:val="004347"/>
          <w:sz w:val="22"/>
        </w:rPr>
        <w:t>一键顺控管理系统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将传统的“唱票-复诵-现场操作”冗长流程，缩减为程序化的一键启动，可将操作时间缩短约 </w:t>
      </w:r>
      <w:r>
        <w:rPr>
          <w:rFonts w:ascii="宋体" w:hAnsi="Times New Roman" w:eastAsia="宋体"/>
          <w:b/>
          <w:i w:val="false"/>
          <w:color w:val="004347"/>
          <w:sz w:val="22"/>
        </w:rPr>
        <w:t>70%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，整体效率提升约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30%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5"/>
    <w:bookmarkStart w:name="0d053d6995bed617cafc9615814c760f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关键控制逻辑与安全保障：</w:t>
      </w:r>
    </w:p>
    <w:bookmarkEnd w:id="26"/>
    <w:bookmarkStart w:name="ua7156124" w:id="27"/>
    <w:p>
      <w:pPr>
        <w:spacing w:after="50" w:line="360" w:lineRule="auto" w:beforeLines="100"/>
        <w:ind w:left="0"/>
        <w:jc w:val="left"/>
      </w:pPr>
      <w:bookmarkStart w:name="ua24f7f1e" w:id="28"/>
      <w:r>
        <w:rPr>
          <w:rFonts w:eastAsia="宋体" w:ascii="宋体"/>
        </w:rPr>
        <w:drawing>
          <wp:inline distT="0" distB="0" distL="0" distR="0">
            <wp:extent cx="5842000" cy="3253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433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b73755a25edea7204c8e3e903b198c33" w:id="2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四态转换与 Tcd 规范：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系统支持</w:t>
      </w:r>
      <w:r>
        <w:rPr>
          <w:rFonts w:ascii="宋体" w:hAnsi="Times New Roman" w:eastAsia="宋体"/>
          <w:b/>
          <w:i w:val="false"/>
          <w:color w:val="004347"/>
          <w:sz w:val="22"/>
        </w:rPr>
        <w:t>运行、热备、冷备、检修四个核心状态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的自动切换。在状态判定中，系统严格执行状态充电时间（Tcd ≈ 5s）规范，即位置信号必须持续稳定 5 秒后方可确认为有效状态，严防信号抖动带来的误判。</w:t>
      </w:r>
    </w:p>
    <w:bookmarkEnd w:id="29"/>
    <w:bookmarkStart w:name="2ee8e61f3dec3729c89f139d5a8ff80b" w:id="3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电机堵转反转保护：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针对底盘车或接地刀的电动操作，系统具备严密的“堵转保护”逻辑。若在摇进/摇出过程中发生堵转，系统将立即停止输出并自动触发</w:t>
      </w:r>
      <w:r>
        <w:rPr>
          <w:rFonts w:ascii="宋体" w:hAnsi="Times New Roman" w:eastAsia="宋体"/>
          <w:b/>
          <w:i w:val="false"/>
          <w:color w:val="004347"/>
          <w:sz w:val="22"/>
        </w:rPr>
        <w:t>反转逻辑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，使机构退回初始位置，防止损坏昂贵的机械部件。</w:t>
      </w:r>
    </w:p>
    <w:bookmarkEnd w:id="30"/>
    <w:bookmarkStart w:name="dec7725f055598142aed65e65477b1ae" w:id="3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AI 视频双辅助判据：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系统引入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SR-2010S AI 视频识别装置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这不仅是视觉监视，更是法定的“双辅助判据”。AI 算法实时对断路器和接地刀位置进行二次识别，只有当“电气信号”与“视觉特征”完全一致时，系统才会确认操作成功，彻底杜绝人因事故。</w:t>
      </w:r>
    </w:p>
    <w:bookmarkEnd w:id="31"/>
    <w:bookmarkStart w:name="uc5b9c9e7" w:id="32"/>
    <w:p>
      <w:pPr>
        <w:spacing w:after="50" w:line="360" w:lineRule="auto" w:beforeLines="100"/>
        <w:ind w:left="0"/>
        <w:jc w:val="left"/>
      </w:pPr>
      <w:bookmarkStart w:name="c2a0M" w:id="33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e0146a4d730b052a62ef211ccaeb8f83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针对机场扩建、深部矿山等高标准环境，硬件选型必须遵循严苛的工业级标准，确保在恶劣磁场与粉尘环境下算法依然能稳定输出。</w:t>
      </w:r>
    </w:p>
    <w:bookmarkEnd w:id="34"/>
    <w:bookmarkStart w:name="9a2b3c6cafe01b949167792a8c455b67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智能化升级核心配置清单：</w:t>
      </w:r>
    </w:p>
    <w:bookmarkEnd w:id="35"/>
    <w:bookmarkStart w:name="0661df874d9b79b5570d0f51dfd39bd7" w:id="3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SR-IED 智能测控终端：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系统核心，具备极强的扩展性。配置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8路 RS485 与 8路以太网接口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，集成温湿度监测、电能质量测量及顺控逻辑开入开出。</w:t>
      </w:r>
    </w:p>
    <w:bookmarkEnd w:id="36"/>
    <w:bookmarkStart w:name="5d9bf63bccf692eef39ec5bd81c658da" w:id="3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SR-MOTO 控制器：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负责电动底盘车及地刀的精准驱动，内置软启软停与堵转保护算法。</w:t>
      </w:r>
    </w:p>
    <w:bookmarkEnd w:id="37"/>
    <w:bookmarkStart w:name="cfe4fbb0204b2677981890747251779f" w:id="3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Kgg-01 智能边缘网关：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架构管理中心，支持 4G/以太网多链路通讯。</w:t>
      </w:r>
    </w:p>
    <w:bookmarkEnd w:id="38"/>
    <w:bookmarkStart w:name="2daa0acb16890fa49f8803ed5aba8849" w:id="3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SR-2010S 视频装置：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支持 AI 视觉感知，具备夜视功能，参与“双辅助判据”逻辑。</w:t>
      </w:r>
    </w:p>
    <w:bookmarkEnd w:id="39"/>
    <w:bookmarkStart w:name="f9cc8dcf95a6ec4da0b76395a7c29824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行业合规与物理规格：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方案硬件采用</w:t>
      </w:r>
      <w:r>
        <w:rPr>
          <w:rFonts w:ascii="宋体" w:hAnsi="Times New Roman" w:eastAsia="宋体"/>
          <w:b/>
          <w:i w:val="false"/>
          <w:color w:val="004347"/>
          <w:sz w:val="22"/>
        </w:rPr>
        <w:t>金属铠装结构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，防护等级达 IP54。对于矿用场景，系统配套组件均持有国家非标及 </w:t>
      </w:r>
      <w:r>
        <w:rPr>
          <w:rFonts w:ascii="宋体" w:hAnsi="Times New Roman" w:eastAsia="宋体"/>
          <w:b/>
          <w:i w:val="false"/>
          <w:color w:val="004347"/>
          <w:sz w:val="22"/>
        </w:rPr>
        <w:t>KA 矿用产品安全标志证书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，这是确保方案合法合规落地的先决条件。</w:t>
      </w:r>
    </w:p>
    <w:bookmarkEnd w:id="40"/>
    <w:bookmarkStart w:name="uf265d16b" w:id="41"/>
    <w:p>
      <w:pPr>
        <w:spacing w:after="50" w:line="360" w:lineRule="auto" w:beforeLines="100"/>
        <w:ind w:left="0"/>
        <w:jc w:val="left"/>
      </w:pPr>
      <w:bookmarkStart w:name="a4EKT" w:id="42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769dc2b2fa170d022e8b92f97461db64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以一个典型的 32 面开关柜智能化升级项目为例，其一次性投资约 40.1 万元。相比于这笔费用，机场或大型工业企业因一次“无效拆机导致的人为事故”或“未及时预判出的非计划停电”所产生的经济损失往往达数百万量级。</w:t>
      </w:r>
    </w:p>
    <w:bookmarkEnd w:id="43"/>
    <w:bookmarkStart w:name="9066aa2ae06b2e58af11e246f5ac8607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本方案通过“状态全感知、操作全覆盖、防误全校核”，实现了运维价值的终极重构：</w:t>
      </w:r>
    </w:p>
    <w:bookmarkEnd w:id="44"/>
    <w:bookmarkStart w:name="1c0b60fb9767b456b542aa330d99b8e2" w:id="4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人工降本：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一键顺控配合无人值守模式，大幅释放驻场人力。</w:t>
      </w:r>
    </w:p>
    <w:bookmarkEnd w:id="45"/>
    <w:bookmarkStart w:name="db3fdf6212a5d717e938b2047340759a" w:id="4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资产延寿：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基于 CBM 状态检修，避免过度维护，将备件损耗降低 25% 以上。</w:t>
      </w:r>
    </w:p>
    <w:bookmarkEnd w:id="46"/>
    <w:bookmarkStart w:name="f577561e107bba69ae8e4ae2b7d026c8" w:id="4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安全增效：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堵转保护与 AI 辅助判据终结了误操作导致的电力中断。</w:t>
      </w:r>
    </w:p>
    <w:bookmarkEnd w:id="47"/>
    <w:bookmarkStart w:name="uf6976d3d" w:id="48"/>
    <w:p>
      <w:pPr>
        <w:spacing w:after="50" w:line="360" w:lineRule="auto" w:beforeLines="100"/>
        <w:ind w:left="0"/>
        <w:jc w:val="left"/>
      </w:pPr>
      <w:bookmarkStart w:name="uda0e3bab" w:id="49"/>
      <w:r>
        <w:rPr>
          <w:rFonts w:eastAsia="宋体" w:ascii="宋体"/>
        </w:rPr>
        <w:drawing>
          <wp:inline distT="0" distB="0" distL="0" distR="0">
            <wp:extent cx="5841999" cy="32598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318134" cy="124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3948d6b460f5fe3ae4d222ee7dbb311e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通过数据驱动决策，运维商将从“被动救火者”转变为“主动管理者”。基于这套专家诊断系统，我们正在构建一个远方运维、智能自愈的未来站端，彻底终结低效检修的支出黑洞。</w:t>
      </w:r>
    </w:p>
    <w:bookmarkEnd w:id="50"/>
    <w:bookmarkStart w:name="3260a3e594220d0b1a8a0ecd97a55ee6" w:id="51"/>
    <w:p>
      <w:pPr>
        <w:spacing w:after="50" w:line="360" w:lineRule="auto" w:beforeLines="100"/>
        <w:ind w:left="0"/>
        <w:jc w:val="left"/>
      </w:pPr>
      <w:bookmarkStart w:name="u84891859" w:id="52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33cab519" w:id="53"/>
    <w:p>
      <w:pPr>
        <w:spacing w:after="50" w:line="360" w:lineRule="auto" w:beforeLines="100"/>
        <w:ind w:left="0"/>
        <w:jc w:val="left"/>
      </w:pPr>
      <w:bookmarkStart w:name="u23df1d88" w:id="54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  <w:bookmarkStart w:name="u88d305b8" w:id="55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</w:p>
    <w:bookmarkEnd w:id="53"/>
    <w:bookmarkStart w:name="u2d29b052" w:id="56"/>
    <w:p>
      <w:pPr>
        <w:spacing w:after="50" w:line="360" w:lineRule="auto" w:beforeLines="100"/>
        <w:ind w:left="0"/>
        <w:jc w:val="left"/>
      </w:pPr>
      <w:bookmarkStart w:name="ue16fd594" w:id="57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6"/>
    <w:bookmarkStart w:name="u99594721" w:id="58"/>
    <w:p>
      <w:pPr>
        <w:spacing w:after="50" w:line="360" w:lineRule="auto" w:beforeLines="100"/>
        <w:ind w:left="0"/>
        <w:jc w:val="left"/>
      </w:pPr>
      <w:bookmarkStart w:name="bFKo5" w:id="59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3" cy="10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8"/>
    <w:bookmarkStart w:name="u565c4b8b" w:id="60"/>
    <w:p>
      <w:pPr>
        <w:spacing w:after="50" w:line="360" w:lineRule="auto" w:beforeLines="100"/>
        <w:ind w:left="0"/>
        <w:jc w:val="left"/>
      </w:pPr>
      <w:bookmarkStart w:name="u338c3f3a" w:id="61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  <w:bookmarkStart w:name="u7a4a0c95" w:id="62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  <w:bookmarkStart w:name="ucf61127f" w:id="63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  <w:bookmarkStart w:name="u69651625" w:id="64"/>
      <w:r>
        <w:rPr>
          <w:rFonts w:eastAsia="宋体" w:ascii="宋体"/>
        </w:rPr>
        <w:drawing>
          <wp:inline distT="0" distB="0" distL="0" distR="0">
            <wp:extent cx="5841999" cy="28683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14266" cy="40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