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image/png" PartName="/word/media/document_image_rId23.png"/>
  <Override ContentType="image/png" PartName="/word/media/document_image_rId24.png"/>
  <Override ContentType="image/png" PartName="/word/media/document_image_rId25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【轨物方案】拒绝“唱票复诵”式低效：一键顺控如何撕掉倒闸操作中 70% 的时间泡沫？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3agcN" w:id="0"/>
      <w:bookmarkStart w:name="QsLM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bf1b91bf51e93ef0e6b8c4a0860d4cd7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电力系统运维的“阵地”上，倒闸操作曾是一项极度消耗人力的“长跑”。传统的倒闸模式深陷于“人工逐项作业、现场唱票复诵、逐个点位检查、多轮现场确认”的繁琐流程中。尤其是复杂的“五防”逻辑人工核对与二次插件锁定环节，往往成为吞噬效率的黑洞。在集控中心跨站管控需求日益迫切、一线运维人员缺口加大的当下，这种低效模式形成的“时间泡沫”已严重制约了电网响应速度。行业数据显示，传统流程耗时常以小时计，而现代智能化运维已要求将其压缩至分钟级。</w:t>
      </w:r>
    </w:p>
    <w:bookmarkEnd w:id="2"/>
    <w:bookmarkStart w:name="u800e5ac8" w:id="3"/>
    <w:p>
      <w:pPr>
        <w:spacing w:after="50" w:line="360" w:lineRule="auto" w:beforeLines="100"/>
        <w:ind w:left="0"/>
        <w:jc w:val="left"/>
      </w:pPr>
      <w:bookmarkStart w:name="u5e16b895" w:id="4"/>
      <w:r>
        <w:rPr>
          <w:rFonts w:eastAsia="宋体" w:ascii="宋体"/>
        </w:rPr>
        <w:drawing>
          <wp:inline distT="0" distB="0" distL="0" distR="0">
            <wp:extent cx="5842000" cy="325981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92266" cy="1980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0fb7e8e8def42ff47161819703d1998d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作为深耕电力自动化领域超过15年的方案专家，我见证了从“人控”到“程控”的代际跨越。本文将结合最新的工程实践，深度拆解“一键顺控”如何通过软硬一体化逻辑，彻底消除倒闸操作中的低效冗余。</w:t>
      </w:r>
    </w:p>
    <w:bookmarkEnd w:id="5"/>
    <w:bookmarkStart w:name="oDEj6" w:id="6"/>
    <w:p>
      <w:pPr>
        <w:pStyle w:val="Heading3"/>
        <w:spacing w:after="50" w:line="360" w:lineRule="auto" w:beforeLines="100"/>
        <w:ind w:left="0"/>
        <w:jc w:val="left"/>
      </w:pPr>
      <w:bookmarkStart w:name="z3TgD" w:id="7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bookmarkEnd w:id="6"/>
    <w:bookmarkStart w:name="d5a1cc7f718a6a4d80de95d1f930dc40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键顺控并非简单的远程遥控，而是变电站倒闸操作模式的质变。它将传统操作票制度深度固化为计算机逻辑程序，实现“操作项目预制、任务模块化、状态自动判别、防误联锁校核、步骤顺序执行”的智能化进化。</w:t>
      </w:r>
    </w:p>
    <w:bookmarkEnd w:id="8"/>
    <w:bookmarkStart w:name="4a4138de6028c5059baf550904b5dc12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其技术本质在于：调度端或站端仅需发出一条“</w:t>
      </w:r>
      <w:r>
        <w:rPr>
          <w:rFonts w:ascii="宋体" w:hAnsi="Times New Roman" w:eastAsia="宋体"/>
          <w:b/>
          <w:i w:val="false"/>
          <w:color w:val="004347"/>
          <w:sz w:val="22"/>
        </w:rPr>
        <w:t>一键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”指令，系统便基于当前运行状态，自动调用预设逻辑，在确保五防逻辑安全的前提下，闭环完成分合闸、底盘车摇进出、地刀动作及位置确认。</w:t>
      </w:r>
    </w:p>
    <w:bookmarkEnd w:id="9"/>
    <w:bookmarkStart w:name="ubb2ba8c7" w:id="10"/>
    <w:p>
      <w:pPr>
        <w:spacing w:after="50" w:line="360" w:lineRule="auto" w:beforeLines="100"/>
        <w:ind w:left="0"/>
        <w:jc w:val="left"/>
      </w:pPr>
      <w:bookmarkStart w:name="uf00acaf7" w:id="11"/>
      <w:r>
        <w:rPr>
          <w:rFonts w:eastAsia="宋体" w:ascii="宋体"/>
        </w:rPr>
        <w:drawing>
          <wp:inline distT="0" distB="0" distL="0" distR="0">
            <wp:extent cx="5841999" cy="325980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31334" cy="2177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u14fbb94d" w:id="12"/>
    <w:p>
      <w:pPr>
        <w:spacing w:after="50" w:line="360" w:lineRule="auto" w:beforeLines="100"/>
        <w:ind w:left="0"/>
        <w:jc w:val="left"/>
      </w:pPr>
      <w:bookmarkStart w:name="bprxv" w:id="13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99404e9465bc58cac086f8919ad80914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一键顺控的核心难点在于状态判定的绝对准确性。在我们的方案中，引入了状态充电时间（Tcd）概念：系统通过传感器感知位置信号后，必须持续保持 </w:t>
      </w:r>
      <w:r>
        <w:rPr>
          <w:rFonts w:ascii="宋体" w:hAnsi="Times New Roman" w:eastAsia="宋体"/>
          <w:b/>
          <w:i w:val="false"/>
          <w:color w:val="004347"/>
          <w:sz w:val="22"/>
        </w:rPr>
        <w:t>5秒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以上方可确认为该状态。这一设计有效过滤了机械振动或瞬时跳变引发的误判。</w:t>
      </w:r>
    </w:p>
    <w:bookmarkEnd w:id="14"/>
    <w:bookmarkStart w:name="uc7668c37" w:id="15"/>
    <w:p>
      <w:pPr>
        <w:spacing w:after="50" w:line="360" w:lineRule="auto" w:beforeLines="100"/>
        <w:ind w:left="0"/>
        <w:jc w:val="left"/>
      </w:pPr>
      <w:bookmarkStart w:name="u39aca8fa" w:id="16"/>
      <w:r>
        <w:rPr>
          <w:rFonts w:eastAsia="宋体" w:ascii="宋体"/>
        </w:rPr>
        <w:drawing>
          <wp:inline distT="0" distB="0" distL="0" distR="0">
            <wp:extent cx="5842000" cy="292812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2134" cy="3038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6"/>
    </w:p>
    <w:bookmarkEnd w:id="15"/>
    <w:bookmarkStart w:name="e5N9t" w:id="17"/>
    <w:p>
      <w:pPr>
        <w:pStyle w:val="Heading4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操作流程的“智能补全”逻辑</w:t>
      </w:r>
    </w:p>
    <w:bookmarkEnd w:id="17"/>
    <w:bookmarkStart w:name="349298a67e2cc13811a1f7a616b10b71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系统具备起始状态自动检测功能，能根据目标指令自动补全中间缺失步骤，实现无缝切换。</w:t>
      </w:r>
    </w:p>
    <w:bookmarkEnd w:id="18"/>
    <w:bookmarkStart w:name="u3baba12c" w:id="19"/>
    <w:p>
      <w:pPr>
        <w:spacing w:after="50" w:line="360" w:lineRule="auto" w:beforeLines="100"/>
        <w:ind w:left="0"/>
        <w:jc w:val="left"/>
      </w:pPr>
      <w:bookmarkStart w:name="u1c645021" w:id="20"/>
      <w:r>
        <w:rPr>
          <w:rFonts w:eastAsia="宋体" w:ascii="宋体"/>
        </w:rPr>
        <w:drawing>
          <wp:inline distT="0" distB="0" distL="0" distR="0">
            <wp:extent cx="5842000" cy="25716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263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u4400ef7d" w:id="21"/>
    <w:p>
      <w:pPr>
        <w:spacing w:after="50" w:line="360" w:lineRule="auto" w:beforeLines="100"/>
        <w:ind w:left="0"/>
        <w:jc w:val="left"/>
      </w:pPr>
      <w:bookmarkStart w:name="klW9J" w:id="22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bookmarkEnd w:id="21"/>
    <w:bookmarkStart w:name="2d85923eecdbad766c5011bb8d86fe85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在近期某二期扩建项目中，我们部署了32套高标准的一键顺控体系。该方案不再依赖单一网关，而是通过多维硬件协同构建“状态全感知”基石：</w:t>
      </w:r>
    </w:p>
    <w:bookmarkEnd w:id="23"/>
    <w:bookmarkStart w:name="ub25c06f4" w:id="24"/>
    <w:p>
      <w:pPr>
        <w:spacing w:after="50" w:line="360" w:lineRule="auto" w:beforeLines="100"/>
        <w:ind w:left="0"/>
        <w:jc w:val="left"/>
      </w:pPr>
      <w:bookmarkStart w:name="ufe95842f" w:id="25"/>
      <w:r>
        <w:rPr>
          <w:rFonts w:eastAsia="宋体" w:ascii="宋体"/>
        </w:rPr>
        <w:drawing>
          <wp:inline distT="0" distB="0" distL="0" distR="0">
            <wp:extent cx="5842000" cy="325975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355866" cy="2028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9af0d3cf194f10465d2bdfd23bc4de41" w:id="26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智能开关柜测控终端 (SR-IED)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核心感知单元，负责三相电气参数测量，并集成顺控所需的开入开出量。</w:t>
      </w:r>
    </w:p>
    <w:bookmarkEnd w:id="26"/>
    <w:bookmarkStart w:name="ab2c5bc7aa740cd20358253d324b494f" w:id="27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机械特性监测单元 (SR-MECH)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这是专家级方案的标配，通过霍尔及位移传感器，实时监测断路器</w:t>
      </w:r>
      <w:r>
        <w:rPr>
          <w:rFonts w:ascii="宋体" w:hAnsi="Times New Roman" w:eastAsia="宋体"/>
          <w:b/>
          <w:i w:val="false"/>
          <w:color w:val="004347"/>
          <w:sz w:val="22"/>
        </w:rPr>
        <w:t>触头弹跳（&lt;2ms）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、分合闸速度及线圈电流波形，将“状态监测”升华为“健康预判”。</w:t>
      </w:r>
    </w:p>
    <w:bookmarkEnd w:id="27"/>
    <w:bookmarkStart w:name="3b83238c848e8d10087f7107a9b5a38b" w:id="28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电动执行机构 (SR-MOTO)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实现对底盘车及地刀的远程驱动，支持电动/手动自动切换与互为闭锁。</w:t>
      </w:r>
    </w:p>
    <w:bookmarkEnd w:id="28"/>
    <w:bookmarkStart w:name="2c4cb12057a7a607a4a56a1d153793eb" w:id="29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可视化交互中心 (SR-HMI 10 &amp; SR-ISEDS)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10寸彩色触摸屏配合嵌入式顺控软件，提供专家级诊断界面。</w:t>
      </w:r>
    </w:p>
    <w:bookmarkEnd w:id="29"/>
    <w:bookmarkStart w:name="05eeb2578dc8ab19a5aa8fd8aed9fc0d" w:id="3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智能边缘网关 (kgg-01)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负责机械、电气、视频及环境（如局放、温湿度）数据的全汇聚。</w:t>
      </w:r>
    </w:p>
    <w:bookmarkEnd w:id="30"/>
    <w:bookmarkStart w:name="u6161f6fd" w:id="31"/>
    <w:p>
      <w:pPr>
        <w:spacing w:after="50" w:line="360" w:lineRule="auto" w:beforeLines="100"/>
        <w:ind w:left="0"/>
        <w:jc w:val="left"/>
      </w:pPr>
      <w:bookmarkStart w:name="vRTbc" w:id="32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c62e34cff034495f98e633f3e95dd1e3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安全是一键顺控的红线。我们通过 AI 视觉技术与机械逻辑构建了</w:t>
      </w:r>
      <w:r>
        <w:rPr>
          <w:rFonts w:ascii="宋体" w:hAnsi="Times New Roman" w:eastAsia="宋体"/>
          <w:b/>
          <w:i w:val="false"/>
          <w:color w:val="004347"/>
          <w:sz w:val="22"/>
        </w:rPr>
        <w:t>双辅助判据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体系：</w:t>
      </w:r>
    </w:p>
    <w:bookmarkEnd w:id="33"/>
    <w:bookmarkStart w:name="7059d2f3baa0b72e1d7a9ee679f17037" w:id="34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AI 视觉确认（第二判据）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系统通过带夜视功能的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04347"/>
          <w:sz w:val="22"/>
        </w:rPr>
        <w:t>SR-2010S 监控装置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，实时抓取断路器分合指示、手车位置及地刀触头状态。AI 识别结果不只是用于显示，而是作为操作结果确认的法定辅助逻辑参与控制。</w:t>
      </w:r>
    </w:p>
    <w:bookmarkEnd w:id="34"/>
    <w:bookmarkStart w:name="aa8744cc88306a6eddb10d6de138798d" w:id="35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电动机“正反转自愈”逻辑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在底盘车摇进/摇出过程中，若遇到阻滞引发电机堵转，系统将执行：</w:t>
      </w:r>
      <w:r>
        <w:rPr>
          <w:rFonts w:ascii="宋体" w:hAnsi="Times New Roman" w:eastAsia="宋体"/>
          <w:b/>
          <w:i w:val="false"/>
          <w:color w:val="004347"/>
          <w:sz w:val="22"/>
        </w:rPr>
        <w:t>立即停止行进 \rightarrow 自动反转退回初始位置 \rightarrow 报警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若在退回过程中再次发生堵转，系统将立即锁死并触发二级紧急报警，防止机械结构损坏。</w:t>
      </w:r>
    </w:p>
    <w:bookmarkEnd w:id="35"/>
    <w:bookmarkStart w:name="8bb99ac4d03ae2566509203ec44f9ed0" w:id="3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全参数健康度分析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基于 SR-MECH 采集的行程轨迹，系统可精确识别开距、超程及不同期性，确保每一次顺控都在设备最佳物理状态下执行。</w:t>
      </w:r>
    </w:p>
    <w:bookmarkEnd w:id="36"/>
    <w:bookmarkStart w:name="ub5fb95da" w:id="37"/>
    <w:p>
      <w:pPr>
        <w:spacing w:after="50" w:line="360" w:lineRule="auto" w:beforeLines="100"/>
        <w:ind w:left="0"/>
        <w:jc w:val="left"/>
      </w:pPr>
      <w:bookmarkStart w:name="f3jAP" w:id="38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5d93e3d85a4fc55f6ea774b6892955ec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一键顺控的规模化应用，直接撕掉了运维中的效率泡沫：</w:t>
      </w:r>
    </w:p>
    <w:bookmarkEnd w:id="39"/>
    <w:bookmarkStart w:name="cac4f9dbd0068b12aa21acfd07e3baf4" w:id="40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效率革命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操作时间平均缩短约 70%。原本需要数小时的复杂停送电流程被压缩至分钟级，整体运维效率提升约 30%。</w:t>
      </w:r>
    </w:p>
    <w:bookmarkEnd w:id="40"/>
    <w:bookmarkStart w:name="426113fd52f1db010b0e50b107f143e7" w:id="41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安全重塑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通过“程序化防误+AI视频双判据”，将传统人工操作中不可控的人因事故概率降至极低。</w:t>
      </w:r>
    </w:p>
    <w:bookmarkEnd w:id="41"/>
    <w:bookmarkStart w:name="da88196f208b4d976d1c7794be7c069b" w:id="42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无人化底座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结合集控中心，实现从“站端一键顺控”向“全网协同远方顺控”的演进，为石化、矿业等高危场景提供了可靠的“无人值守”方案。</w:t>
      </w:r>
    </w:p>
    <w:bookmarkEnd w:id="42"/>
    <w:bookmarkStart w:name="uafd6062f" w:id="43"/>
    <w:p>
      <w:pPr>
        <w:spacing w:after="50" w:line="360" w:lineRule="auto" w:beforeLines="100"/>
        <w:ind w:left="0"/>
        <w:jc w:val="left"/>
      </w:pPr>
      <w:bookmarkStart w:name="ub7c079e8" w:id="44"/>
      <w:r>
        <w:rPr>
          <w:rFonts w:eastAsia="宋体" w:ascii="宋体"/>
        </w:rPr>
        <w:drawing>
          <wp:inline distT="0" distB="0" distL="0" distR="0">
            <wp:extent cx="5842000" cy="32597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690800" cy="2270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4"/>
    </w:p>
    <w:bookmarkEnd w:id="43"/>
    <w:bookmarkStart w:name="ab686b7edf240d201cd42bfccbd3b123" w:id="45"/>
    <w:p>
      <w:pPr>
        <w:spacing w:after="50" w:line="360" w:lineRule="auto" w:beforeLines="100"/>
        <w:ind w:left="0"/>
        <w:jc w:val="left"/>
      </w:pPr>
      <w:bookmarkStart w:name="u84891859" w:id="46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u33cab519" w:id="47"/>
    <w:p>
      <w:pPr>
        <w:spacing w:after="50" w:line="360" w:lineRule="auto" w:beforeLines="100"/>
        <w:ind w:left="0"/>
        <w:jc w:val="left"/>
      </w:pPr>
      <w:bookmarkStart w:name="u23df1d88" w:id="48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  <w:bookmarkStart w:name="u88d305b8" w:id="49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9"/>
    </w:p>
    <w:bookmarkEnd w:id="47"/>
    <w:bookmarkStart w:name="u2d29b052" w:id="50"/>
    <w:p>
      <w:pPr>
        <w:spacing w:after="50" w:line="360" w:lineRule="auto" w:beforeLines="100"/>
        <w:ind w:left="0"/>
        <w:jc w:val="left"/>
      </w:pPr>
      <w:bookmarkStart w:name="ue16fd594" w:id="51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uf9dd90bf" w:id="52"/>
    <w:p>
      <w:pPr>
        <w:spacing w:after="50" w:line="360" w:lineRule="auto" w:beforeLines="100"/>
        <w:ind w:left="0"/>
        <w:jc w:val="left"/>
      </w:pPr>
      <w:bookmarkStart w:name="xaxdj" w:id="53"/>
      <w:r>
        <w:rPr>
          <w:rFonts w:eastAsia="宋体" w:ascii="宋体"/>
        </w:rPr>
        <w:drawing>
          <wp:inline distT="0" distB="0" distL="0" distR="0">
            <wp:extent cx="5841999" cy="5257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3" cy="10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</w:p>
    <w:bookmarkEnd w:id="52"/>
    <w:bookmarkStart w:name="ue9610262" w:id="54"/>
    <w:p>
      <w:pPr>
        <w:spacing w:after="50" w:line="360" w:lineRule="auto" w:beforeLines="100"/>
        <w:ind w:left="0"/>
        <w:jc w:val="left"/>
      </w:pPr>
      <w:bookmarkStart w:name="u3b4c05e8" w:id="55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  <w:bookmarkStart w:name="u59ddf785" w:id="56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  <w:bookmarkStart w:name="u1eaa708c" w:id="57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  <w:bookmarkStart w:name="uecd3cc5d" w:id="58"/>
      <w:r>
        <w:rPr>
          <w:rFonts w:eastAsia="宋体" w:ascii="宋体"/>
        </w:rPr>
        <w:drawing>
          <wp:inline distT="0" distB="0" distL="0" distR="0">
            <wp:extent cx="5842000" cy="13261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902400" cy="72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  <w:bookmarkStart w:name="u94f64dbc" w:id="59"/>
      <w:r>
        <w:rPr>
          <w:rFonts w:eastAsia="宋体" w:ascii="宋体"/>
        </w:rPr>
        <w:drawing>
          <wp:inline distT="0" distB="0" distL="0" distR="0">
            <wp:extent cx="5841999" cy="28683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314266" cy="408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5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23" Target="media/document_image_rId23.png" Type="http://schemas.openxmlformats.org/officeDocument/2006/relationships/image"/><Relationship Id="rId24" Target="media/document_image_rId24.png" Type="http://schemas.openxmlformats.org/officeDocument/2006/relationships/image"/><Relationship Id="rId25" Target="media/document_image_rId25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