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【技术白皮书】光伏电站数智化技改技术白皮书：从老旧场站到高收益智能资产的演进路径</w:t>
      </w:r>
    </w:p>
    <w:bookmarkEnd w:id="0"/>
    <w:bookmarkStart w:name="HyPCP" w:id="1"/>
    <w:p>
      <w:pPr>
        <w:pStyle w:val="Heading1"/>
        <w:spacing w:after="50" w:line="360" w:lineRule="auto" w:beforeLines="100"/>
        <w:ind w:left="0"/>
        <w:jc w:val="left"/>
      </w:pPr>
      <w:bookmarkStart w:name="fC6Tt" w:id="2"/>
      <w:r>
        <w:rPr>
          <w:rFonts w:eastAsia="宋体" w:ascii="宋体"/>
        </w:rPr>
        <w:drawing>
          <wp:inline distT="0" distB="0" distL="0" distR="0">
            <wp:extent cx="5842000" cy="37972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4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bookmarkEnd w:id="1"/>
    <w:bookmarkStart w:name="ud43f0492" w:id="3"/>
    <w:p>
      <w:pPr>
        <w:spacing w:after="50" w:line="360" w:lineRule="auto" w:beforeLines="100"/>
        <w:ind w:left="0"/>
        <w:jc w:val="left"/>
      </w:pPr>
      <w:bookmarkStart w:name="jAqic" w:id="4"/>
      <w:r>
        <w:rPr>
          <w:rFonts w:eastAsia="宋体" w:ascii="宋体"/>
        </w:rPr>
        <w:drawing>
          <wp:inline distT="0" distB="0" distL="0" distR="0">
            <wp:extent cx="5842000" cy="7822403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46134" cy="4076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f1036d11" w:id="5"/>
    <w:p>
      <w:pPr>
        <w:spacing w:after="50" w:line="360" w:lineRule="auto" w:beforeLines="100"/>
        <w:ind w:left="0"/>
        <w:jc w:val="left"/>
      </w:pPr>
      <w:bookmarkStart w:name="Jlpbf" w:id="6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u360c8734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前，中国光伏产业正处于从“补贴驱动型增长”向“存量资产全生命周期增效”跨越的转折点。随着“十四五”规划进入中后期，大批在“金太阳”工程及特许权招标背景下投运的电站正步入老化期。由于早期设计标准不一、组件功率偏低且衰减超标，全国约16.3GW的存量电站面临退役或重构的抉择。</w:t>
      </w:r>
    </w:p>
    <w:bookmarkEnd w:id="7"/>
    <w:bookmarkStart w:name="u550aadae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从资产管理视角看，技改不仅是设备维护，更是资产再造。过去十余年，光伏组件单瓦价格从38元锐减至0.7元左右（降幅98%），系统成本下降93%，这为技改腾挪出了巨大的利润空间。在土地资源与并网容量日益稀缺的今天，利用现有场址进行数智化升级，是实现“双碳”目标下资产保值增值的唯一确定性路径。</w:t>
      </w:r>
    </w:p>
    <w:bookmarkEnd w:id="8"/>
    <w:bookmarkStart w:name="u60eebc27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战略逻辑：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技改的核心价值在于利用极低的技术成本，对高补贴单价的资产进行性能回归甚至跨代超越。行业数据显示，电站功率衰减越严重、原电价水平越高，其技术改造的边际贡献和净现值（NPV）增益就越显著。</w:t>
      </w:r>
    </w:p>
    <w:bookmarkEnd w:id="9"/>
    <w:bookmarkStart w:name="udd7b0932" w:id="10"/>
    <w:p>
      <w:pPr>
        <w:spacing w:after="50" w:line="360" w:lineRule="auto" w:beforeLines="100"/>
        <w:ind w:left="0"/>
        <w:jc w:val="left"/>
      </w:pPr>
      <w:bookmarkStart w:name="ixGEv" w:id="11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0"/>
    <w:bookmarkStart w:name="u8a694caa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“诊断先行”是规避盲目投资、提升IRR（内部收益率）的基石。CDO应建立“设备健康度+退化建模+经济测算”三线并行的路径，对资产进行深度“体检”。</w:t>
      </w:r>
    </w:p>
    <w:bookmarkEnd w:id="12"/>
    <w:bookmarkStart w:name="AaznJ" w:id="13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2.1 健康度量化评估指标体系（归一化标准）</w:t>
      </w:r>
    </w:p>
    <w:bookmarkEnd w:id="13"/>
    <w:bookmarkStart w:name="u2cd09c86" w:id="14"/>
    <w:p>
      <w:pPr>
        <w:spacing w:after="50" w:line="360" w:lineRule="auto" w:beforeLines="100"/>
        <w:ind w:left="0"/>
        <w:jc w:val="left"/>
      </w:pPr>
      <w:bookmarkStart w:name="FxXDc" w:id="15"/>
      <w:r>
        <w:rPr>
          <w:rFonts w:eastAsia="宋体" w:ascii="宋体"/>
        </w:rPr>
        <w:drawing>
          <wp:inline distT="0" distB="0" distL="0" distR="0">
            <wp:extent cx="5841999" cy="270384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0534" cy="275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bookmarkEnd w:id="14"/>
    <w:bookmarkStart w:name="tYdOz" w:id="16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2.2 寿命预测与精准识别</w:t>
      </w:r>
    </w:p>
    <w:bookmarkEnd w:id="16"/>
    <w:bookmarkStart w:name="uaac275f5" w:id="17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硬件驱动：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采用</w:t>
      </w:r>
      <w:r>
        <w:rPr>
          <w:rFonts w:ascii="宋体" w:hAnsi="Times New Roman" w:eastAsia="宋体"/>
          <w:b/>
          <w:i w:val="false"/>
          <w:color w:val="004347"/>
          <w:sz w:val="22"/>
        </w:rPr>
        <w:t>EC120型便携式EL成像系统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，利用0.1mm高分辨率精准识别组件内部隐裂，结合功率损失计算公式 P_{loss} = k \cdot A_{crack} \cdot \eta_{comp} 进行失效判定。</w:t>
      </w:r>
    </w:p>
    <w:bookmarkEnd w:id="17"/>
    <w:bookmarkStart w:name="u42f81c0f" w:id="18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预测逻辑：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引入维纳过程（Wiener Process）随机模型对电力电子器件的剩余使用寿命（RUL）进行建模，通过SCADA历史数据拟合退化曲线，预测未来3-5年的失效概率，实现从“响应式维护”到“预测性维护”的转变。</w:t>
      </w:r>
    </w:p>
    <w:bookmarkEnd w:id="18"/>
    <w:bookmarkStart w:name="u9a90ea9b" w:id="19"/>
    <w:p>
      <w:pPr>
        <w:spacing w:after="50" w:line="360" w:lineRule="auto" w:beforeLines="100"/>
        <w:ind w:left="0"/>
        <w:jc w:val="left"/>
      </w:pPr>
      <w:bookmarkStart w:name="ff7CX" w:id="20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bookmarkEnd w:id="19"/>
    <w:bookmarkStart w:name="u01b773a5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在数智化技改决策中，“单位投资增益（Delta NPV/Investment）”是核心指标。</w:t>
      </w:r>
    </w:p>
    <w:bookmarkEnd w:id="21"/>
    <w:bookmarkStart w:name="Ndkgp" w:id="2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3.1 决策阈值界定：从“经验感知”转向“物理指纹”</w:t>
      </w:r>
    </w:p>
    <w:bookmarkEnd w:id="22"/>
    <w:bookmarkStart w:name="uf4d55a0a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我们要将模糊的“老旧”定义为可量化的“物理偏离值”：</w:t>
      </w:r>
    </w:p>
    <w:bookmarkEnd w:id="23"/>
    <w:bookmarkStart w:name="u81460477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3.1.1 技术阈值（故障与衰减红线）</w:t>
      </w:r>
    </w:p>
    <w:bookmarkEnd w:id="24"/>
    <w:bookmarkStart w:name="ucf2c25fe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• </w:t>
      </w:r>
      <w:r>
        <w:rPr>
          <w:rFonts w:ascii="宋体" w:hAnsi="Times New Roman" w:eastAsia="宋体"/>
          <w:b/>
          <w:i w:val="false"/>
          <w:color w:val="004347"/>
          <w:sz w:val="22"/>
        </w:rPr>
        <w:t>离散率红线（万能数据棒检测）：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基于组串电流/电压数据，当子阵列内组串离散率超过20%时（即处于“运行情况较差”等级），判定为必须干预，因为此时一致性极差，存在明显的故障单元。</w:t>
      </w:r>
    </w:p>
    <w:bookmarkEnd w:id="25"/>
    <w:bookmarkStart w:name="u7a8225e4" w:id="26"/>
    <w:p>
      <w:pPr>
        <w:spacing w:after="50" w:line="360" w:lineRule="auto" w:beforeLines="100"/>
        <w:ind w:left="0"/>
        <w:jc w:val="left"/>
      </w:pPr>
      <w:bookmarkStart w:name="hG5JX" w:id="27"/>
      <w:r>
        <w:rPr>
          <w:rFonts w:eastAsia="宋体" w:ascii="宋体"/>
        </w:rPr>
        <w:drawing>
          <wp:inline distT="0" distB="0" distL="0" distR="0">
            <wp:extent cx="5842000" cy="254706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67868" cy="1895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dfa7392c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•</w:t>
      </w:r>
      <w:r>
        <w:rPr>
          <w:rFonts w:ascii="宋体" w:hAnsi="Times New Roman" w:eastAsia="宋体"/>
          <w:b/>
          <w:i w:val="false"/>
          <w:color w:val="004347"/>
          <w:sz w:val="22"/>
        </w:rPr>
        <w:t xml:space="preserve"> PR值偏离度：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当电站实际PR（系统效率）低于该地区同类设备标杆值的10%以上，且通过AI深度分析确认为组件隐裂、热斑或逆变器效率下降（而非天气因素）时，触发布置技改计划。</w:t>
      </w:r>
    </w:p>
    <w:bookmarkEnd w:id="28"/>
    <w:bookmarkStart w:name="ue0ed42ef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•</w:t>
      </w:r>
      <w:r>
        <w:rPr>
          <w:rFonts w:ascii="宋体" w:hAnsi="Times New Roman" w:eastAsia="宋体"/>
          <w:b/>
          <w:i w:val="false"/>
          <w:color w:val="004347"/>
          <w:sz w:val="22"/>
        </w:rPr>
        <w:t xml:space="preserve"> 通信中断率（2G/3G退网影响）：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对于通信链路丢包率持续超过15%或面临强制退网的场站，界定为“数字化失联”，必须实施“微创技改”（更换边缘智能网关或万能数据棒）。</w:t>
      </w:r>
    </w:p>
    <w:bookmarkEnd w:id="29"/>
    <w:bookmarkStart w:name="ue121d976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3.1.2 经济阈值（资产重构临界点）</w:t>
      </w:r>
    </w:p>
    <w:bookmarkEnd w:id="30"/>
    <w:bookmarkStart w:name="u68cb8f23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•</w:t>
      </w:r>
      <w:r>
        <w:rPr>
          <w:rFonts w:ascii="宋体" w:hAnsi="Times New Roman" w:eastAsia="宋体"/>
          <w:b/>
          <w:i w:val="false"/>
          <w:color w:val="004347"/>
          <w:sz w:val="22"/>
        </w:rPr>
        <w:t xml:space="preserve"> LCOE反转点：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利用公式计算 LCOE=(I0+∑Mt)/∑Et。当技改投入技改摊销后的新增度电成本，低于维持现状产生的“带病运行”损失电费（含故障罚款）时，即刻实施。</w:t>
      </w:r>
    </w:p>
    <w:bookmarkEnd w:id="31"/>
    <w:bookmarkStart w:name="u15e2ba61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• </w:t>
      </w:r>
      <w:r>
        <w:rPr>
          <w:rFonts w:ascii="宋体" w:hAnsi="Times New Roman" w:eastAsia="宋体"/>
          <w:b/>
          <w:i w:val="false"/>
          <w:color w:val="004347"/>
          <w:sz w:val="22"/>
        </w:rPr>
        <w:t>TCO“负成本”判定：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若满足：</w:t>
      </w:r>
      <w:r>
        <w:rPr>
          <w:rFonts w:ascii="宋体" w:hAnsi="Courier New" w:eastAsia="宋体"/>
          <w:b w:val="false"/>
          <w:i w:val="false"/>
          <w:color w:val="000000"/>
          <w:sz w:val="22"/>
        </w:rPr>
        <w:t>轨物服务费 &lt; (AI找回电费 + 机器人节省清洗费 + 远程抄表节省人工费 + 预警规避火灾价值)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，则该技改在财务上被定义为“负成本资产配置”，应列为A类投资项目。</w:t>
      </w:r>
    </w:p>
    <w:bookmarkEnd w:id="32"/>
    <w:bookmarkStart w:name="e8I15" w:id="33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3.2 优先级排序策略：最大化“单位算力”的获利空间</w:t>
      </w:r>
    </w:p>
    <w:bookmarkEnd w:id="33"/>
    <w:bookmarkStart w:name="u7088bd1d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3.2.1 资产层（电站间）：收益杠杆优先</w:t>
      </w:r>
    </w:p>
    <w:bookmarkEnd w:id="34"/>
    <w:bookmarkStart w:name="u72b1427c" w:id="3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1. 补贴期敏感度：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优先排布处于高电价补贴期（FIT）的老旧场站。因为在高电价下，通过AI算法找回的“消失的5%电量”，其边际收益远高于平价上网项目。</w:t>
      </w:r>
    </w:p>
    <w:bookmarkEnd w:id="35"/>
    <w:bookmarkStart w:name="ufa443338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2</w:t>
      </w:r>
      <w:r>
        <w:rPr>
          <w:rFonts w:ascii="宋体" w:hAnsi="Times New Roman" w:eastAsia="宋体"/>
          <w:b/>
          <w:i w:val="false"/>
          <w:color w:val="004347"/>
          <w:sz w:val="22"/>
        </w:rPr>
        <w:t>. “账实不符”偏差度：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通过红外抄表数据 vs 逆变器理论读数，若线损偏差分析显示异常电量损失 &gt;5%，此类场站由于存在“利润黑洞”（可能漏电或计量误差），需作为审计级技改的首选。</w:t>
      </w:r>
    </w:p>
    <w:bookmarkEnd w:id="36"/>
    <w:bookmarkStart w:name="ua853631e" w:id="37"/>
    <w:p>
      <w:pPr>
        <w:spacing w:after="50" w:line="360" w:lineRule="auto" w:beforeLines="100"/>
        <w:ind w:left="0"/>
        <w:jc w:val="left"/>
      </w:pPr>
      <w:bookmarkStart w:name="cIzPT" w:id="38"/>
      <w:r>
        <w:rPr>
          <w:rFonts w:eastAsia="宋体" w:ascii="宋体"/>
        </w:rPr>
        <w:drawing>
          <wp:inline distT="0" distB="0" distL="0" distR="0">
            <wp:extent cx="5842000" cy="254706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67868" cy="1895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u8f9c3697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3.2.2 站内层（子阵列间）：健康度分级消缺</w:t>
      </w:r>
    </w:p>
    <w:bookmarkEnd w:id="39"/>
    <w:bookmarkStart w:name="uf38275df" w:id="4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1.</w:t>
      </w:r>
      <w:r>
        <w:rPr>
          <w:rFonts w:ascii="宋体" w:hAnsi="Times New Roman" w:eastAsia="宋体"/>
          <w:b/>
          <w:i w:val="false"/>
          <w:color w:val="004347"/>
          <w:sz w:val="22"/>
        </w:rPr>
        <w:t xml:space="preserve"> 极低分方阵（健康度＜60分）：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此类方阵通常存在组件失效或组串断路。优先通过万能数据棒进行IV曲线扫描，定位故障点。</w:t>
      </w:r>
    </w:p>
    <w:bookmarkEnd w:id="40"/>
    <w:bookmarkStart w:name="u6cb0eb22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2</w:t>
      </w:r>
      <w:r>
        <w:rPr>
          <w:rFonts w:ascii="宋体" w:hAnsi="Times New Roman" w:eastAsia="宋体"/>
          <w:b/>
          <w:i w:val="false"/>
          <w:color w:val="004347"/>
          <w:sz w:val="22"/>
        </w:rPr>
        <w:t>. 高积灰/高遮挡区：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利用AI算法识别出的遮挡损耗图谱，优先在这些区域部署清洁机器人。案例显示，精准的智能清洗技改可使发电量提升18%~35%</w:t>
      </w:r>
    </w:p>
    <w:bookmarkEnd w:id="41"/>
    <w:bookmarkStart w:name="u4e3e8ee9" w:id="42"/>
    <w:p>
      <w:pPr>
        <w:spacing w:after="50" w:line="360" w:lineRule="auto" w:beforeLines="100"/>
        <w:ind w:left="0"/>
        <w:jc w:val="left"/>
      </w:pPr>
      <w:bookmarkStart w:name="eoO9S" w:id="43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bookmarkEnd w:id="42"/>
    <w:bookmarkStart w:name="ua08c0a52" w:id="4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根据电站病灶，采取差异化方案以实现土地与资产效能最大化。</w:t>
      </w:r>
    </w:p>
    <w:bookmarkEnd w:id="44"/>
    <w:bookmarkStart w:name="u7b1cfd5c" w:id="45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效益型技改（增发为王）：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针对早期设计保守的问题，在不改变并网容量的前提下优化DC/AC容配比，提升系统满载小时数。</w:t>
      </w:r>
    </w:p>
    <w:bookmarkEnd w:id="45"/>
    <w:bookmarkStart w:name="u4e1e8eea" w:id="46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生产型技改（并网友好）：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重点实施“架构升级”，将老旧集中式逆变器更换为具备多路MPPT的组串式机型，提升响应精度。引入AGC/AVC系统联动，确保功率因数响应延迟控制在10ms以内。</w:t>
      </w:r>
    </w:p>
    <w:bookmarkEnd w:id="46"/>
    <w:bookmarkStart w:name="u008e7bdf" w:id="47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安全性技改（合规底线）：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对电缆老化进行专项治理，升级电力二次安防系统及防雷接地网络，确保电站全生命周期的合规运行。</w:t>
      </w:r>
    </w:p>
    <w:bookmarkEnd w:id="47"/>
    <w:bookmarkStart w:name="ue9eb0ab9" w:id="48"/>
    <w:p>
      <w:pPr>
        <w:spacing w:after="50" w:line="360" w:lineRule="auto" w:beforeLines="100"/>
        <w:ind w:left="0"/>
        <w:jc w:val="left"/>
      </w:pPr>
      <w:bookmarkStart w:name="Ockfl" w:id="49"/>
      <w:r>
        <w:rPr>
          <w:rFonts w:eastAsia="宋体" w:ascii="宋体"/>
        </w:rPr>
        <w:t>[MISSING IMAGE: ,  ]</w:t>
      </w:r>
      <w:bookmarkEnd w:id="49"/>
    </w:p>
    <w:bookmarkEnd w:id="48"/>
    <w:bookmarkStart w:name="P94KE" w:id="50"/>
    <w:p>
      <w:pPr>
        <w:pStyle w:val="Heading2"/>
        <w:spacing w:after="50" w:line="360" w:lineRule="auto" w:beforeLines="100"/>
        <w:ind w:left="0"/>
        <w:jc w:val="left"/>
      </w:pPr>
      <w:bookmarkStart w:name="E8Yli" w:id="51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1"/>
    </w:p>
    <w:bookmarkEnd w:id="50"/>
    <w:bookmarkStart w:name="u5e77533b" w:id="5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存量技改的灵魂在于“数字化设备管理”。</w:t>
      </w:r>
    </w:p>
    <w:bookmarkEnd w:id="52"/>
    <w:bookmarkStart w:name="NhPd9" w:id="53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5.1 架构体系：AWS IoT Core + 大数据底座</w:t>
      </w:r>
    </w:p>
    <w:bookmarkEnd w:id="53"/>
    <w:bookmarkStart w:name="u15d54a91" w:id="5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技改后的场站应构建基于</w:t>
      </w:r>
      <w:r>
        <w:rPr>
          <w:rFonts w:ascii="宋体" w:hAnsi="Times New Roman" w:eastAsia="宋体"/>
          <w:b/>
          <w:i w:val="false"/>
          <w:color w:val="004347"/>
          <w:sz w:val="22"/>
        </w:rPr>
        <w:t>AWS IoT Core云平台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的监控网络，利用</w:t>
      </w:r>
      <w:r>
        <w:rPr>
          <w:rFonts w:ascii="宋体" w:hAnsi="Times New Roman" w:eastAsia="宋体"/>
          <w:b/>
          <w:i w:val="false"/>
          <w:color w:val="004347"/>
          <w:sz w:val="22"/>
        </w:rPr>
        <w:t>Hadoop大数据框架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处理海量传感数据。前端展示通过</w:t>
      </w:r>
      <w:r>
        <w:rPr>
          <w:rFonts w:ascii="宋体" w:hAnsi="Times New Roman" w:eastAsia="宋体"/>
          <w:b/>
          <w:i w:val="false"/>
          <w:color w:val="004347"/>
          <w:sz w:val="22"/>
        </w:rPr>
        <w:t>Grafana动态仪表盘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实现电站PR、THD及SOC等关键参数的实时可视化。</w:t>
      </w:r>
    </w:p>
    <w:bookmarkEnd w:id="54"/>
    <w:bookmarkStart w:name="cXbOq" w:id="55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5.2 AI驱动与预测性维护</w:t>
      </w:r>
    </w:p>
    <w:bookmarkEnd w:id="55"/>
    <w:bookmarkStart w:name="uaaed16ba" w:id="56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算法路径：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构建混合模型，针对单体组件偏差、逆变器热斑及功率因数下降进行毫秒级在线诊断。</w:t>
      </w:r>
    </w:p>
    <w:bookmarkEnd w:id="56"/>
    <w:bookmarkStart w:name="u28299c64" w:id="57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感知联动：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部署</w:t>
      </w:r>
      <w:r>
        <w:rPr>
          <w:rFonts w:ascii="宋体" w:hAnsi="Times New Roman" w:eastAsia="宋体"/>
          <w:b/>
          <w:i w:val="false"/>
          <w:color w:val="004347"/>
          <w:sz w:val="22"/>
        </w:rPr>
        <w:t>Keysight N8700系列传感器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，结合</w:t>
      </w:r>
      <w:r>
        <w:rPr>
          <w:rFonts w:ascii="宋体" w:hAnsi="Times New Roman" w:eastAsia="宋体"/>
          <w:b/>
          <w:i w:val="false"/>
          <w:color w:val="004347"/>
          <w:sz w:val="22"/>
        </w:rPr>
        <w:t>DJI Matrice 300无人机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搭载Zenmuse XT2热成像模块，实现故障定位误差控制在</w:t>
      </w:r>
      <w:r>
        <w:rPr>
          <w:rFonts w:ascii="宋体" w:hAnsi="Times New Roman" w:eastAsia="宋体"/>
          <w:b/>
          <w:i w:val="false"/>
          <w:color w:val="000000"/>
          <w:sz w:val="22"/>
        </w:rPr>
        <w:t>0.1m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以内。</w:t>
      </w:r>
    </w:p>
    <w:bookmarkEnd w:id="57"/>
    <w:bookmarkStart w:name="E85kB" w:id="5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5.3 智能硬件应用：Thingcom生态系统</w:t>
      </w:r>
    </w:p>
    <w:bookmarkEnd w:id="58"/>
    <w:bookmarkStart w:name="udff07c9b" w:id="59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抗沙尘技术：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采用</w:t>
      </w:r>
      <w:r>
        <w:rPr>
          <w:rFonts w:ascii="宋体" w:hAnsi="Times New Roman" w:eastAsia="宋体"/>
          <w:b/>
          <w:i w:val="false"/>
          <w:color w:val="004347"/>
          <w:sz w:val="22"/>
        </w:rPr>
        <w:t>3M Solar Dust-Guard涂层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，在组件表面形成疏水防沙膜，结合</w:t>
      </w:r>
      <w:r>
        <w:rPr>
          <w:rFonts w:ascii="宋体" w:hAnsi="Times New Roman" w:eastAsia="宋体"/>
          <w:b/>
          <w:i w:val="false"/>
          <w:color w:val="004347"/>
          <w:sz w:val="22"/>
        </w:rPr>
        <w:t>机器人组成的自动化清洗系统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，可实现运维人力下降30%，光透过率提升显著。</w:t>
      </w:r>
    </w:p>
    <w:bookmarkEnd w:id="59"/>
    <w:bookmarkStart w:name="ue58e3d8b" w:id="60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热管理升级：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针对高温区逆变器，采用</w:t>
      </w:r>
      <w:r>
        <w:rPr>
          <w:rFonts w:ascii="宋体" w:hAnsi="Times New Roman" w:eastAsia="宋体"/>
          <w:b/>
          <w:i w:val="false"/>
          <w:color w:val="004347"/>
          <w:sz w:val="22"/>
        </w:rPr>
        <w:t>CoolFlow液冷散热系统（集成Schneider RTG-20泵组）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，散热效率提升30%以上。</w:t>
      </w:r>
    </w:p>
    <w:bookmarkEnd w:id="60"/>
    <w:bookmarkStart w:name="ufa9157e6" w:id="61"/>
    <w:p>
      <w:pPr>
        <w:spacing w:after="50" w:line="360" w:lineRule="auto" w:beforeLines="100"/>
        <w:ind w:left="0"/>
        <w:jc w:val="left"/>
      </w:pPr>
      <w:bookmarkStart w:name="g6Os1" w:id="62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2"/>
    </w:p>
    <w:bookmarkEnd w:id="61"/>
    <w:bookmarkStart w:name="u665feea0" w:id="6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以某典型光伏电站为例，该场站投运于2020年，通过数字化闭环管理与硬件重塑实现了质变。</w:t>
      </w:r>
    </w:p>
    <w:bookmarkEnd w:id="63"/>
    <w:bookmarkStart w:name="ude687dcd" w:id="6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核心对标数据表：</w:t>
      </w:r>
    </w:p>
    <w:bookmarkEnd w:id="64"/>
    <w:bookmarkStart w:name="udad33855" w:id="65"/>
    <w:p>
      <w:pPr>
        <w:spacing w:after="50" w:line="360" w:lineRule="auto" w:beforeLines="100"/>
        <w:ind w:left="0"/>
        <w:jc w:val="left"/>
      </w:pPr>
      <w:bookmarkStart w:name="sjH5g" w:id="66"/>
      <w:r>
        <w:rPr>
          <w:rFonts w:eastAsia="宋体" w:ascii="宋体"/>
        </w:rPr>
        <w:drawing>
          <wp:inline distT="0" distB="0" distL="0" distR="0">
            <wp:extent cx="5841999" cy="211737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60534" cy="216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6"/>
    </w:p>
    <w:bookmarkEnd w:id="65"/>
    <w:bookmarkStart w:name="uac38be25" w:id="6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关键驱动要素：</w:t>
      </w:r>
    </w:p>
    <w:bookmarkEnd w:id="67"/>
    <w:bookmarkStart w:name="u445e4eac" w:id="68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储能升级：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采用</w:t>
      </w:r>
      <w:r>
        <w:rPr>
          <w:rFonts w:ascii="宋体" w:hAnsi="Times New Roman" w:eastAsia="宋体"/>
          <w:b/>
          <w:i w:val="false"/>
          <w:color w:val="004347"/>
          <w:sz w:val="22"/>
        </w:rPr>
        <w:t>CATL LFP（磷酸铁锂）电池模块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替换老化单元，结合动态功率调度算法，显著提升充放电一致性。</w:t>
      </w:r>
    </w:p>
    <w:bookmarkEnd w:id="68"/>
    <w:bookmarkStart w:name="ufff2f8d1" w:id="69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数智化闭环：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故障检测时间缩短至2.36s，调度响应时间优化至1.94s，验证了基于AWS IoT Core平台的全局管理效能。</w:t>
      </w:r>
    </w:p>
    <w:bookmarkEnd w:id="69"/>
    <w:bookmarkStart w:name="DJWs8" w:id="70"/>
    <w:p>
      <w:pPr>
        <w:pStyle w:val="Heading2"/>
        <w:spacing w:after="50" w:line="360" w:lineRule="auto" w:beforeLines="100"/>
        <w:ind w:left="0"/>
        <w:jc w:val="left"/>
      </w:pPr>
      <w:bookmarkStart w:name="yerKO" w:id="71"/>
      <w:r>
        <w:rPr>
          <w:rFonts w:eastAsia="宋体" w:ascii="宋体"/>
        </w:rPr>
        <w:drawing>
          <wp:inline distT="0" distB="0" distL="0" distR="0">
            <wp:extent cx="5842000" cy="13670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1"/>
    </w:p>
    <w:bookmarkEnd w:id="70"/>
    <w:bookmarkStart w:name="ua073aa4a" w:id="7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存量光伏电站的数智化技改，不是简单的设备零星更换，而是一场从底层硬件到顶层逻辑的资产重构。面对光伏资产进入高比例衰减期的必然趋势，能源集团必须建立以NPV为导向、以数智化平台为支撑、以轨物科技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无人值守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”为愿景的标准化技改体系。</w:t>
      </w:r>
    </w:p>
    <w:bookmarkEnd w:id="72"/>
    <w:bookmarkStart w:name="ua3585778" w:id="7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唯有如此，方能将沉淀的存量资产转化为高回报的智能绿色动力，在能源转型的下半场博弈中，稳据资产溢价的制高点。</w:t>
      </w:r>
    </w:p>
    <w:bookmarkEnd w:id="73"/>
    <w:bookmarkStart w:name="u7e3ee6ca" w:id="74"/>
    <w:p>
      <w:pPr>
        <w:spacing w:after="50" w:line="360" w:lineRule="auto" w:beforeLines="100"/>
        <w:ind w:left="0"/>
        <w:jc w:val="left"/>
      </w:pPr>
      <w:bookmarkStart w:name="DNRhl" w:id="75"/>
      <w:r>
        <w:rPr>
          <w:rFonts w:eastAsia="宋体" w:ascii="宋体"/>
        </w:rPr>
        <w:drawing>
          <wp:inline distT="0" distB="0" distL="0" distR="0">
            <wp:extent cx="5842000" cy="16240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927337" cy="2666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5"/>
    </w:p>
    <w:bookmarkEnd w:id="74"/>
    <w:bookmarkStart w:name="u00872bd5" w:id="76"/>
    <w:p>
      <w:pPr>
        <w:spacing w:after="50" w:line="360" w:lineRule="auto" w:beforeLines="100"/>
        <w:ind w:left="0"/>
        <w:jc w:val="left"/>
      </w:pPr>
      <w:bookmarkStart w:name="J96Mf" w:id="77"/>
      <w:r>
        <w:rPr>
          <w:rFonts w:eastAsia="宋体" w:ascii="宋体"/>
        </w:rPr>
        <w:drawing>
          <wp:inline distT="0" distB="0" distL="0" distR="0">
            <wp:extent cx="5841999" cy="329487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07067" cy="80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7"/>
      <w:bookmarkStart w:name="FqXNE" w:id="78"/>
      <w:r>
        <w:rPr>
          <w:rFonts w:eastAsia="宋体" w:ascii="宋体"/>
        </w:rPr>
        <w:drawing>
          <wp:inline distT="0" distB="0" distL="0" distR="0">
            <wp:extent cx="5842000" cy="472607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0" cy="1512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8"/>
    </w:p>
    <w:bookmarkEnd w:id="76"/>
    <w:bookmarkStart w:name="uf65c4dbd" w:id="79"/>
    <w:p>
      <w:pPr>
        <w:spacing w:after="50" w:line="360" w:lineRule="auto" w:beforeLines="100"/>
        <w:ind w:left="0"/>
        <w:jc w:val="left"/>
      </w:pPr>
      <w:bookmarkStart w:name="yb22h" w:id="80"/>
      <w:r>
        <w:rPr>
          <w:rFonts w:eastAsia="宋体" w:ascii="宋体"/>
        </w:rPr>
        <w:drawing>
          <wp:inline distT="0" distB="0" distL="0" distR="0">
            <wp:extent cx="5842000" cy="4848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86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0"/>
    </w:p>
    <w:bookmarkEnd w:id="79"/>
    <w:bookmarkStart w:name="uf6c715e0" w:id="81"/>
    <w:p>
      <w:pPr>
        <w:spacing w:after="50" w:line="360" w:lineRule="auto" w:beforeLines="100"/>
        <w:ind w:left="0"/>
        <w:jc w:val="left"/>
      </w:pPr>
      <w:bookmarkStart w:name="cpVW5" w:id="82"/>
      <w:r>
        <w:rPr>
          <w:rFonts w:eastAsia="宋体" w:ascii="宋体"/>
        </w:rPr>
        <w:drawing>
          <wp:inline distT="0" distB="0" distL="0" distR="0">
            <wp:extent cx="5842000" cy="52577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8319063" cy="133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2"/>
    </w:p>
    <w:bookmarkEnd w:id="81"/>
    <w:bookmarkStart w:name="u219d323b" w:id="83"/>
    <w:p>
      <w:pPr>
        <w:spacing w:after="50" w:line="360" w:lineRule="auto" w:beforeLines="100"/>
        <w:ind w:left="0"/>
        <w:jc w:val="left"/>
      </w:pPr>
      <w:bookmarkStart w:name="dpn8w" w:id="84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4"/>
      <w:bookmarkStart w:name="TyDa2" w:id="85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5"/>
      <w:bookmarkStart w:name="t8sm5" w:id="86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6"/>
      <w:bookmarkStart w:name="r6aOt" w:id="87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7"/>
    </w:p>
    <w:bookmarkEnd w:id="83"/>
    <w:bookmarkStart w:name="ub55740e8" w:id="88"/>
    <w:p>
      <w:pPr>
        <w:spacing w:after="50" w:line="360" w:lineRule="auto" w:beforeLines="100"/>
        <w:ind w:left="0"/>
        <w:jc w:val="left"/>
      </w:pPr>
      <w:bookmarkStart w:name="gGVW3" w:id="89"/>
      <w:r>
        <w:rPr>
          <w:rFonts w:eastAsia="宋体" w:ascii="宋体"/>
        </w:rPr>
        <w:drawing>
          <wp:inline distT="0" distB="0" distL="0" distR="0">
            <wp:extent cx="5841999" cy="286831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0" cy="815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9"/>
    </w:p>
    <w:bookmarkEnd w:id="8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23" Target="media/document_image_rId23.png" Type="http://schemas.openxmlformats.org/officeDocument/2006/relationships/image"/><Relationship Id="rId24" Target="media/document_image_rId24.png" Type="http://schemas.openxmlformats.org/officeDocument/2006/relationships/image"/><Relationship Id="rId25" Target="media/document_image_rId25.png" Type="http://schemas.openxmlformats.org/officeDocument/2006/relationships/image"/><Relationship Id="rId26" Target="media/document_image_rId26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