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【轨物方案】存量光伏电站“焕新”手册：从效率衰减到价值重构的升级策略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ALPO4" w:id="0"/>
      <w:bookmarkStart w:name="fC6Tt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fc3f5433" w:id="2"/>
    <w:p>
      <w:pPr>
        <w:spacing w:after="50" w:line="360" w:lineRule="auto" w:beforeLines="100"/>
        <w:ind w:left="0"/>
        <w:jc w:val="left"/>
      </w:pPr>
      <w:bookmarkStart w:name="ua05b92ac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ced636cffef2002af9f6415a8dd9b3be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站在“十四五”末期的关键节点，我国光伏产业正面临一个前所未有的资产转型期。早期建设的电站已逐步接近设计寿命中后期，根据权威数据，目前运行超过10年（2014年底前建成）的光伏装机规模约达 </w:t>
      </w:r>
      <w:r>
        <w:rPr>
          <w:rFonts w:ascii="宋体" w:hAnsi="Times New Roman" w:eastAsia="宋体"/>
          <w:b/>
          <w:i w:val="false"/>
          <w:color w:val="004347"/>
          <w:sz w:val="22"/>
        </w:rPr>
        <w:t>19.5GW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。这批老旧资产不仅面临设备自然老化，更在技术指标上被当代高效系统拉开了代差。</w:t>
      </w:r>
    </w:p>
    <w:bookmarkEnd w:id="4"/>
    <w:bookmarkStart w:name="65dee236078e77d8a4d0980e87e3bb80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然而，“退役”绝非终点，而是“重生”的起点。在优质土地与电网接入资源日益稀缺的今天，对老旧场址进行“价值重构”已成为存量资产增值的核心逻辑。通过科学的技改方案，投资者能够将沉睡的“老旧资产”转变为高效的“资产常青树”，在稀缺的资源禀赋上实现收益的二次腾飞。</w:t>
      </w:r>
    </w:p>
    <w:bookmarkEnd w:id="5"/>
    <w:bookmarkStart w:name="u3d1ab64d" w:id="6"/>
    <w:p>
      <w:pPr>
        <w:spacing w:after="50" w:line="360" w:lineRule="auto" w:beforeLines="100"/>
        <w:ind w:left="0"/>
        <w:jc w:val="left"/>
      </w:pPr>
      <w:bookmarkStart w:name="FOUrV" w:id="7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4f3e6e08bfffa0a82d34c6da57279885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技改的本质是利用当下的“技术红利”去对冲资产的“物理衰减”。其核心驱动因素可总结为以下三点：</w:t>
      </w:r>
    </w:p>
    <w:bookmarkEnd w:id="8"/>
    <w:bookmarkStart w:name="78763e131acebba08ef78aa79ab97982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极致的效率与成本红线：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过去十余年，光伏组件价格从38元/W断崖式降至约0.7元/W（降幅达98%），系统成本从60元/W降至不足4元/W（降幅93%）。同时，电池量产效率从17%跃升至25%左右。这种“高效率-低成本”的错位，使得“以旧换新”的经济性在财务模型中极具说服力。</w:t>
      </w:r>
    </w:p>
    <w:bookmarkEnd w:id="9"/>
    <w:bookmarkStart w:name="20b88b921bf11614b5090158c5d56254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稀缺资源的价值最大化：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随着优质土地和并网容量成为开发瓶颈，技改的战略意义在于“资源压榨”。老旧电站往往存在大量</w:t>
      </w:r>
      <w:r>
        <w:rPr>
          <w:rFonts w:ascii="宋体" w:hAnsi="Times New Roman" w:eastAsia="宋体"/>
          <w:b/>
          <w:i w:val="false"/>
          <w:color w:val="004347"/>
          <w:sz w:val="22"/>
        </w:rPr>
        <w:t>闲置土地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（如行间距过大）。通过应用高效组件和优化容配比（参考 NB/T 10394-2020 规范），可以在不增加占地的情况下显著提升场站的能量密度，将“死空间”转化为“现金流”。</w:t>
      </w:r>
    </w:p>
    <w:bookmarkEnd w:id="10"/>
    <w:bookmarkStart w:name="318eaa9e3e7ffb2d220e855f813b7b3f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运营痛点与安全修复：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运行多年的电站普遍面临衰减超标（平均0.89%/年，部分严重隐裂组件超1.05%/年）。老旧逆变器在高温下频发过载保护，功率因数响应延迟甚至超出设计标准。技改是解决设备“带病运行”、规避电网违约罚款的唯一出路。</w:t>
      </w:r>
    </w:p>
    <w:bookmarkEnd w:id="11"/>
    <w:bookmarkStart w:name="u195b5edb" w:id="12"/>
    <w:p>
      <w:pPr>
        <w:spacing w:after="50" w:line="360" w:lineRule="auto" w:beforeLines="100"/>
        <w:ind w:left="0"/>
        <w:jc w:val="left"/>
      </w:pPr>
      <w:bookmarkStart w:name="ue74b2caa" w:id="13"/>
      <w:r>
        <w:rPr>
          <w:rFonts w:eastAsia="宋体" w:ascii="宋体"/>
        </w:rPr>
        <w:drawing>
          <wp:inline distT="0" distB="0" distL="0" distR="0">
            <wp:extent cx="5841999" cy="39199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12534" cy="275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96692a91" w:id="14"/>
    <w:p>
      <w:pPr>
        <w:spacing w:after="50" w:line="360" w:lineRule="auto" w:beforeLines="100"/>
        <w:ind w:left="0"/>
        <w:jc w:val="left"/>
      </w:pPr>
      <w:bookmarkStart w:name="sCNv8" w:id="15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6a16aa4353d0604471086b69cdb1c6e1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针对存量电站的差异化诉求，我们将技改模式细分为三类，其优先级和目标各异：</w:t>
      </w:r>
    </w:p>
    <w:bookmarkEnd w:id="16"/>
    <w:bookmarkStart w:name="uc25b3c55" w:id="17"/>
    <w:p>
      <w:pPr>
        <w:spacing w:after="50" w:line="360" w:lineRule="auto" w:beforeLines="100"/>
        <w:ind w:left="0"/>
        <w:jc w:val="left"/>
      </w:pPr>
      <w:bookmarkStart w:name="u8ed52a8d" w:id="18"/>
      <w:r>
        <w:rPr>
          <w:rFonts w:eastAsia="宋体" w:ascii="宋体"/>
        </w:rPr>
        <w:drawing>
          <wp:inline distT="0" distB="0" distL="0" distR="0">
            <wp:extent cx="5841999" cy="2460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0534" cy="251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a429f031" w:id="19"/>
    <w:p>
      <w:pPr>
        <w:spacing w:after="50" w:line="360" w:lineRule="auto" w:beforeLines="100"/>
        <w:ind w:left="0"/>
        <w:jc w:val="left"/>
      </w:pPr>
      <w:bookmarkStart w:name="KNOs7" w:id="20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i2csj" w:id="2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4.1 组件与逆变器性能重构</w:t>
      </w:r>
    </w:p>
    <w:bookmarkEnd w:id="21"/>
    <w:bookmarkStart w:name="57e8ad7419d58b9f33f29391fb8ab6b3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高效硬件是性能恢复的核心。利用分辨率达 </w:t>
      </w:r>
      <w:r>
        <w:rPr>
          <w:rFonts w:ascii="宋体" w:hAnsi="Times New Roman" w:eastAsia="宋体"/>
          <w:b/>
          <w:i w:val="false"/>
          <w:color w:val="004347"/>
          <w:sz w:val="22"/>
        </w:rPr>
        <w:t>0.1mm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的高精度EL检测技术，可精准定位隐裂。针对低效阵列，建议直接更换为转换效率达23.2%以上的 </w:t>
      </w:r>
      <w:r>
        <w:rPr>
          <w:rFonts w:ascii="宋体" w:hAnsi="Times New Roman" w:eastAsia="宋体"/>
          <w:b/>
          <w:i w:val="false"/>
          <w:color w:val="004347"/>
          <w:sz w:val="22"/>
        </w:rPr>
        <w:t>540Wp+ 单晶PERC组件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。在逆变器侧，推荐采用 </w:t>
      </w:r>
      <w:r>
        <w:rPr>
          <w:rFonts w:ascii="宋体" w:hAnsi="Times New Roman" w:eastAsia="宋体"/>
          <w:b/>
          <w:i w:val="false"/>
          <w:color w:val="004347"/>
          <w:sz w:val="22"/>
        </w:rPr>
        <w:t>CoolFlow液冷散热结构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，实测可提升散热效率30%以上，解决高温环境下的过载痛点，并将功率因数响应延迟从15.82ms优化至 </w:t>
      </w:r>
      <w:r>
        <w:rPr>
          <w:rFonts w:ascii="宋体" w:hAnsi="Times New Roman" w:eastAsia="宋体"/>
          <w:b/>
          <w:i w:val="false"/>
          <w:color w:val="004347"/>
          <w:sz w:val="22"/>
        </w:rPr>
        <w:t>9.47ms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以内。</w:t>
      </w:r>
    </w:p>
    <w:bookmarkEnd w:id="22"/>
    <w:bookmarkStart w:name="0H3QK" w:id="2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4.2 环境适应性与“防护+自清洁”</w:t>
      </w:r>
    </w:p>
    <w:bookmarkEnd w:id="23"/>
    <w:bookmarkStart w:name="bbc8b169e42f4f300321c151a0254437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老旧电站常因沙尘积聚导致光透过率大幅下降（降幅可达12.47%）。</w:t>
      </w:r>
    </w:p>
    <w:bookmarkEnd w:id="24"/>
    <w:bookmarkStart w:name="d8fb4e9a53f15d6bc067f36861581fdf" w:id="2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被动防护：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引入 </w:t>
      </w:r>
      <w:r>
        <w:rPr>
          <w:rFonts w:ascii="宋体" w:hAnsi="Times New Roman" w:eastAsia="宋体"/>
          <w:b/>
          <w:i w:val="false"/>
          <w:color w:val="004347"/>
          <w:sz w:val="22"/>
        </w:rPr>
        <w:t>3M Solar Dust-Guard 疏水防沙涂层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，在组件表面形成保护膜，减少沙尘附着。</w:t>
      </w:r>
    </w:p>
    <w:bookmarkEnd w:id="25"/>
    <w:bookmarkStart w:name="3f7b853075131edfd467c74de62e3aaf" w:id="2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主动清洁：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配置自动化机器人清洁系统，将清洁周期由30天缩短至 </w:t>
      </w:r>
      <w:r>
        <w:rPr>
          <w:rFonts w:ascii="宋体" w:hAnsi="Times New Roman" w:eastAsia="宋体"/>
          <w:b/>
          <w:i w:val="false"/>
          <w:color w:val="004347"/>
          <w:sz w:val="22"/>
        </w:rPr>
        <w:t>14天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6"/>
    <w:bookmarkStart w:name="d5d6469ead0a20f583529b7bc50db1c2" w:id="2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气象感知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部署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MeteoShield PRO 气象站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，实时监测环境风险并提前触发防护策略。</w:t>
      </w:r>
    </w:p>
    <w:bookmarkEnd w:id="27"/>
    <w:bookmarkStart w:name="u5ab90f29" w:id="28"/>
    <w:p>
      <w:pPr>
        <w:spacing w:after="50" w:line="360" w:lineRule="auto" w:beforeLines="100"/>
        <w:ind w:left="0"/>
        <w:jc w:val="left"/>
      </w:pPr>
      <w:bookmarkStart w:name="ud79c7077" w:id="29"/>
      <w:r>
        <w:rPr>
          <w:rFonts w:eastAsia="宋体" w:ascii="宋体"/>
        </w:rPr>
        <w:drawing>
          <wp:inline distT="0" distB="0" distL="0" distR="0">
            <wp:extent cx="5842000" cy="39199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29466" cy="2753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hpsuR" w:id="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4.3 AI诊断与智慧运维</w:t>
      </w:r>
    </w:p>
    <w:bookmarkEnd w:id="30"/>
    <w:bookmarkStart w:name="981aee40f5d26a8af201ff5cf22fd92a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传统的“人肉巡检”已无法适应资产管理需求。</w:t>
      </w:r>
    </w:p>
    <w:bookmarkEnd w:id="31"/>
    <w:bookmarkStart w:name="0563530aa0b884d6b8146c00056ef6fb" w:id="32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无人机热成像：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利用 DJI Matrice 300 搭载热成像模块，定位误差控制在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0.1m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内。</w:t>
      </w:r>
    </w:p>
    <w:bookmarkEnd w:id="32"/>
    <w:bookmarkStart w:name="ed8e5283c28de0c38b02861dac1e04f4" w:id="3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CNN深度学习模型：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应用 </w:t>
      </w:r>
      <w:r>
        <w:rPr>
          <w:rFonts w:ascii="宋体" w:hAnsi="Times New Roman" w:eastAsia="宋体"/>
          <w:b/>
          <w:i w:val="false"/>
          <w:color w:val="004347"/>
          <w:sz w:val="22"/>
        </w:rPr>
        <w:t>卷积神经网络（CNN）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结合随机森林算法，实现毫秒级的热斑识别与故障自动诊断。</w:t>
      </w:r>
    </w:p>
    <w:bookmarkEnd w:id="33"/>
    <w:bookmarkStart w:name="b94afa8344e9b2bb4c5e9ef869bc96c1" w:id="3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储能增强：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针对调频需求，可选用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CATL LFP 电池模块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替换老旧单元，并集成高性能 BMS 优化能量流转。</w:t>
      </w:r>
    </w:p>
    <w:bookmarkEnd w:id="34"/>
    <w:bookmarkStart w:name="ua0491dd9" w:id="35"/>
    <w:p>
      <w:pPr>
        <w:spacing w:after="50" w:line="360" w:lineRule="auto" w:beforeLines="100"/>
        <w:ind w:left="0"/>
        <w:jc w:val="left"/>
      </w:pPr>
      <w:bookmarkStart w:name="jVvRF" w:id="36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f47245508184caea2bd96fdfdd76f5b5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评估“改不改”和“先改哪”需要一套科学的量化体系。</w:t>
      </w:r>
    </w:p>
    <w:bookmarkEnd w:id="37"/>
    <w:bookmarkStart w:name="2bf91a68b8367e09227429066be0d6b0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第一步：健康度四级评估体系（0-100分）</w:t>
      </w:r>
    </w:p>
    <w:bookmarkEnd w:id="38"/>
    <w:bookmarkStart w:name="ed1ebdb326d562bfdb214178f3e12366" w:id="39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≥90分（健康）：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维持现状，保持常态运维。</w:t>
      </w:r>
    </w:p>
    <w:bookmarkEnd w:id="39"/>
    <w:bookmarkStart w:name="08326756b9c5815e3dbd7793bc93c39c" w:id="4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70-90分（轻度退化）：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局部组件修复，优化控制算法。</w:t>
      </w:r>
    </w:p>
    <w:bookmarkEnd w:id="40"/>
    <w:bookmarkStart w:name="57dd87c05a437f77c7e91274d1db5aa0" w:id="41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50-70分（重度退化）：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建议纳入分批技改计划，更换核心失效单元。</w:t>
      </w:r>
    </w:p>
    <w:bookmarkEnd w:id="41"/>
    <w:bookmarkStart w:name="fcff452bff672e9c53f68689ffff7c59" w:id="42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＜50分（深度失效）：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建议整体重构或全站更新。</w:t>
      </w:r>
    </w:p>
    <w:bookmarkEnd w:id="42"/>
    <w:bookmarkStart w:name="8d7a92167b625c48627fb8e2530897ea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第二步：经济性评估（ΔNPV 导向）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技改决策的核心指标是“单位投资增加的净现值（ΔNPV）”。需综合考量：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增发电量收益 + 运维成本减少 + 违规罚款规避 - 技改投资额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3"/>
    <w:bookmarkStart w:name="1076f9b504c776820b76d7ac9d3a426f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第三步：分步实施策略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优先对“高收益+高风险”区块进行集中改造。通过分批停电施工方案，最大程度减少施工期间的度电损失。</w:t>
      </w:r>
    </w:p>
    <w:bookmarkEnd w:id="44"/>
    <w:bookmarkStart w:name="uad47ccb6" w:id="45"/>
    <w:p>
      <w:pPr>
        <w:spacing w:after="50" w:line="360" w:lineRule="auto" w:beforeLines="100"/>
        <w:ind w:left="0"/>
        <w:jc w:val="left"/>
      </w:pPr>
      <w:bookmarkStart w:name="ue757c4b9" w:id="46"/>
      <w:r>
        <w:rPr>
          <w:rFonts w:eastAsia="宋体" w:ascii="宋体"/>
        </w:rPr>
        <w:drawing>
          <wp:inline distT="0" distB="0" distL="0" distR="0">
            <wp:extent cx="5841999" cy="39199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12534" cy="275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00297bb0" w:id="47"/>
    <w:p>
      <w:pPr>
        <w:spacing w:after="50" w:line="360" w:lineRule="auto" w:beforeLines="100"/>
        <w:ind w:left="0"/>
        <w:jc w:val="left"/>
      </w:pPr>
      <w:bookmarkStart w:name="Gl5VT" w:id="48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80f146383a691714365335afc52e7f93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在技改落地过程中，投资者必须规避政策“深水区”：</w:t>
      </w:r>
    </w:p>
    <w:bookmarkEnd w:id="49"/>
    <w:bookmarkStart w:name="159663b4a1918681316431a28cad7577" w:id="50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补贴核算与“合理利用小时”：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针对存量补贴电站，政策明确：原有安装容量部分的发电量按原补贴水平核算，且受“合理利用小时”限制；超出部分的增发量则按现行平价政策结算。这一机制平衡了企业收益与国家财政负担。</w:t>
      </w:r>
    </w:p>
    <w:bookmarkEnd w:id="50"/>
    <w:bookmarkStart w:name="9ae11271db781e4b5efd96eae886ba56" w:id="51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增容与等容的手续：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“等容改造”手续最简，收益确定性高；“原场址增容”虽涉及备案、接入校核等复杂流程，但能最大化利用土地价值，是当前及未来的主流方向。</w:t>
      </w:r>
    </w:p>
    <w:bookmarkEnd w:id="51"/>
    <w:bookmarkStart w:name="f5ccfef23cd16c68d2e573e52995a587" w:id="52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用地性质红线：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必须提前核实场址范围内的土地属性变化，确保技改后的支架建设符合最新的生态保护红线要求。</w:t>
      </w:r>
    </w:p>
    <w:bookmarkEnd w:id="52"/>
    <w:bookmarkStart w:name="u0043261b" w:id="53"/>
    <w:p>
      <w:pPr>
        <w:spacing w:after="50" w:line="360" w:lineRule="auto" w:beforeLines="100"/>
        <w:ind w:left="0"/>
        <w:jc w:val="left"/>
      </w:pPr>
      <w:bookmarkStart w:name="ajl1F" w:id="54"/>
      <w:r>
        <w:rPr>
          <w:rFonts w:eastAsia="宋体" w:ascii="宋体"/>
        </w:rPr>
        <w:drawing>
          <wp:inline distT="0" distB="0" distL="0" distR="0">
            <wp:extent cx="5842000" cy="13670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3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5b4396b24d5d6a19edeea6b3f8d0568a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存量光伏电站的技改不是简单的设备搬运，而是一场基于数据驱动的系统性协同优化。在组件与存储设备的技术红利窗口期，通过“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诊断、建模、方案、验证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”的闭环路径，投资者可以有效完成存量资产的华丽转身。利用数字化手段深挖土地与电网资源的隐性价值，方能让老旧电站真正实现“焕新重生”，跨越25年的生命周期，持续贡献绿色价值。</w:t>
      </w:r>
    </w:p>
    <w:bookmarkEnd w:id="55"/>
    <w:bookmarkStart w:name="5051d6ee2342a2e95b095b8b89828445" w:id="56"/>
    <w:p>
      <w:pPr>
        <w:spacing w:after="50" w:line="360" w:lineRule="auto" w:beforeLines="100"/>
        <w:ind w:left="0"/>
        <w:jc w:val="left"/>
      </w:pPr>
      <w:bookmarkStart w:name="DNRhl" w:id="57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00872bd5" w:id="58"/>
    <w:p>
      <w:pPr>
        <w:spacing w:after="50" w:line="360" w:lineRule="auto" w:beforeLines="100"/>
        <w:ind w:left="0"/>
        <w:jc w:val="left"/>
      </w:pPr>
      <w:bookmarkStart w:name="J96Mf" w:id="59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  <w:bookmarkStart w:name="FqXNE" w:id="60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8"/>
    <w:bookmarkStart w:name="uf65c4dbd" w:id="61"/>
    <w:p>
      <w:pPr>
        <w:spacing w:after="50" w:line="360" w:lineRule="auto" w:beforeLines="100"/>
        <w:ind w:left="0"/>
        <w:jc w:val="left"/>
      </w:pPr>
      <w:bookmarkStart w:name="yb22h" w:id="62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  <w:bookmarkStart w:name="u2fb94756" w:id="63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  <w:bookmarkStart w:name="uf31fc792" w:id="6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  <w:bookmarkStart w:name="u30064c92" w:id="6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  <w:bookmarkStart w:name="u66385830" w:id="6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  <w:bookmarkStart w:name="ub1804d9d" w:id="6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  <w:bookmarkStart w:name="u91bf2b42" w:id="68"/>
      <w:r>
        <w:rPr>
          <w:rFonts w:eastAsia="宋体" w:ascii="宋体"/>
        </w:rPr>
        <w:drawing>
          <wp:inline distT="0" distB="0" distL="0" distR="0">
            <wp:extent cx="5841999" cy="28683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1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