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【轨物方案】轨物科技“AI增效”管家的AI算法如何量化3%-5%的收益？</w:t>
      </w:r>
    </w:p>
    <w:p>
      <w:pPr>
        <w:spacing w:after="50" w:line="360" w:lineRule="auto" w:beforeLines="100"/>
        <w:ind w:left="0"/>
        <w:jc w:val="left"/>
      </w:pPr>
      <w:bookmarkStart w:name="520f42f3293818f927861ebbd5b15da4_p_0" w:id="0"/>
      <w:bookmarkStart w:name="fC6Tt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047dd8e251219fe9f9f890550b86393d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轨物科技认为，分布式光伏电站的本质是一项</w:t>
      </w:r>
      <w:r>
        <w:rPr>
          <w:rFonts w:ascii="宋体" w:hAnsi="Times New Roman" w:eastAsia="宋体"/>
          <w:b/>
          <w:i w:val="false"/>
          <w:color w:val="004347"/>
          <w:sz w:val="24"/>
        </w:rPr>
        <w:t>长达 25 年的能源金融资产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，其核心价值在于现金流的“稳定性”与“确定性”。然而，电站自建成起就在经历“熵增”过程——设备老化、2G 退网失联、账目模糊以及随之而来的安全风险。</w:t>
      </w:r>
    </w:p>
    <w:bookmarkEnd w:id="2"/>
    <w:bookmarkStart w:name="4aa94b2aaa3c029705cfe72dab400d7c" w:id="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我们的使命是利用 AIoT 技术，通过“</w:t>
      </w:r>
      <w:r>
        <w:rPr>
          <w:rFonts w:ascii="宋体" w:hAnsi="Times New Roman" w:eastAsia="宋体"/>
          <w:b/>
          <w:i w:val="false"/>
          <w:color w:val="004347"/>
          <w:sz w:val="24"/>
        </w:rPr>
        <w:t>不动电气、微创技改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”的方式为电站注入“负熵”，将模糊的运行状态转化为精确的数字化决策，确保资产收益的确定性。</w:t>
      </w:r>
    </w:p>
    <w:bookmarkEnd w:id="3"/>
    <w:bookmarkStart w:name="2e0a6a7621ec8c42b6bffb7df0b88aa5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轨物科技始终坚持从</w:t>
      </w:r>
      <w:r>
        <w:rPr>
          <w:rFonts w:ascii="宋体" w:hAnsi="Times New Roman" w:eastAsia="宋体"/>
          <w:b/>
          <w:i w:val="false"/>
          <w:color w:val="004347"/>
          <w:sz w:val="22"/>
        </w:rPr>
        <w:t>第一性原理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出发去审视光伏资产。电站的本质是长周期的现金流模型，而所谓的“止损增效”，核心在于将原本模糊的“发电量流失”转化为精确的“数字化财务决策”。</w:t>
      </w:r>
    </w:p>
    <w:bookmarkEnd w:id="4"/>
    <w:bookmarkStart w:name="44474d5c47ce6308b207f1475c9d1e1d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我们的AI算法之所以能明确量化并找回那3%-5%的消失收益，主要通过以下四个技术维度实现的闭环审计：</w:t>
      </w:r>
    </w:p>
    <w:bookmarkEnd w:id="5"/>
    <w:bookmarkStart w:name="u1e33f82f" w:id="6"/>
    <w:p>
      <w:pPr>
        <w:spacing w:after="50" w:line="360" w:lineRule="auto" w:beforeLines="100"/>
        <w:ind w:left="0"/>
        <w:jc w:val="left"/>
      </w:pPr>
      <w:bookmarkStart w:name="u086837a5" w:id="7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d3b052d2ede757b7d86076a2cbb6c086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传统的监控系统仅能像“体温计”一样告知设备是否在线（在线/离线），却无法诊断“慢性病”。</w:t>
      </w:r>
    </w:p>
    <w:bookmarkEnd w:id="8"/>
    <w:bookmarkStart w:name="36f6f77d19c8bcd80b3675e0afff6bf0" w:id="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I-V曲线指纹识别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依托杭州电子科技大学·AIoT联合实验室的深度学习模型，算法可以远程进行I-V曲线“云扫描”，识别出组件积灰、隐裂、热斑、二极管击穿等10余种亚健康状态。</w:t>
      </w:r>
    </w:p>
    <w:bookmarkEnd w:id="9"/>
    <w:bookmarkStart w:name="dcf0781696386764ce1f53af44a8ce84" w:id="1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精准定性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AI不再仅仅上报一个模糊的故障，而是能够区分“云层偶发遮挡”与“建筑/植被固定遮挡”，从而精准定位损耗源头。</w:t>
      </w:r>
    </w:p>
    <w:bookmarkEnd w:id="10"/>
    <w:bookmarkStart w:name="u55a70dc2" w:id="11"/>
    <w:p>
      <w:pPr>
        <w:spacing w:after="50" w:line="360" w:lineRule="auto" w:beforeLines="100"/>
        <w:ind w:left="0"/>
        <w:jc w:val="left"/>
      </w:pPr>
      <w:bookmarkStart w:name="u346a2573" w:id="12"/>
      <w:r>
        <w:rPr>
          <w:rFonts w:eastAsia="宋体" w:ascii="宋体"/>
        </w:rPr>
        <w:drawing>
          <wp:inline distT="0" distB="0" distL="0" distR="0">
            <wp:extent cx="5841999" cy="39199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06267" cy="1375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bookmarkEnd w:id="11"/>
    <w:bookmarkStart w:name="u4f6de75f" w:id="13"/>
    <w:p>
      <w:pPr>
        <w:spacing w:after="50" w:line="360" w:lineRule="auto" w:beforeLines="100"/>
        <w:ind w:left="0"/>
        <w:jc w:val="left"/>
      </w:pPr>
      <w:bookmarkStart w:name="KMHm6" w:id="14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283f24f4b1dc0109d888103964910fef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量化的基础在于对比。我们利用算法在相同光照条件下进行横向对标。</w:t>
      </w:r>
    </w:p>
    <w:bookmarkEnd w:id="15"/>
    <w:bookmarkStart w:name="b40775285789d175d8fdc6d49a8bc706" w:id="16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散点图定位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系统会自动绘制离散率散点图，纵坐标为等效利用小时数（归一化功率）。正常的组串会聚集在紧密的带状区域，而效率偏低</w:t>
      </w:r>
      <w:r>
        <w:rPr>
          <w:rFonts w:ascii="宋体" w:hAnsi="Times New Roman" w:eastAsia="宋体"/>
          <w:b/>
          <w:i w:val="false"/>
          <w:color w:val="004347"/>
          <w:sz w:val="22"/>
        </w:rPr>
        <w:t>15%以上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的孤立点会被算法自动高亮标记为“异常组串”。</w:t>
      </w:r>
    </w:p>
    <w:bookmarkEnd w:id="16"/>
    <w:bookmarkStart w:name="8215f4dab7be734637ce4556dcd6b0b1" w:id="1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发现“偷懒”资产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通过这种对标，算法能瞬间发现那些虽然“活着”但并未“全力赚钱”的资产，避免了传统人工巡检的盲目性。</w:t>
      </w:r>
    </w:p>
    <w:bookmarkEnd w:id="17"/>
    <w:bookmarkStart w:name="u2f224257" w:id="18"/>
    <w:p>
      <w:pPr>
        <w:spacing w:after="50" w:line="360" w:lineRule="auto" w:beforeLines="100"/>
        <w:ind w:left="0"/>
        <w:jc w:val="left"/>
      </w:pPr>
      <w:bookmarkStart w:name="u5602b882" w:id="19"/>
      <w:r>
        <w:rPr>
          <w:rFonts w:eastAsia="宋体" w:ascii="宋体"/>
        </w:rPr>
        <w:drawing>
          <wp:inline distT="0" distB="0" distL="0" distR="0">
            <wp:extent cx="5842000" cy="436389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73333" cy="14546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</w:p>
    <w:bookmarkEnd w:id="18"/>
    <w:bookmarkStart w:name="u20b7ce64" w:id="20"/>
    <w:p>
      <w:pPr>
        <w:spacing w:after="50" w:line="360" w:lineRule="auto" w:beforeLines="100"/>
        <w:ind w:left="0"/>
        <w:jc w:val="left"/>
      </w:pPr>
      <w:bookmarkStart w:name="pzYzQ" w:id="21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15de2100e6dfc47b4f79ba7fc7e60355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数据如果不转化为决策就没有价值。AI算法通过“损失计算器”功能，将技术层面的效率下降直接翻译成业主能听懂的“钱”。</w:t>
      </w:r>
    </w:p>
    <w:bookmarkEnd w:id="22"/>
    <w:bookmarkStart w:name="d9a9533b2a90d76c3551a0f9d2d403fa" w:id="23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实时量化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当AI识别出灰尘遮挡导致效率下降3%时，后台会自动结合当前电价和光照数据计算出结果，例如：“今日因灰尘遮挡损失发电量15kWh ≈ ¥12.50”。</w:t>
      </w:r>
    </w:p>
    <w:bookmarkEnd w:id="23"/>
    <w:bookmarkStart w:name="c39d479723ca876d0fb458c7b5650c7d" w:id="24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动态策略（Soiling Logic）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AI结合降雨预测与积尘损失模型，不再执行机械的定期清洗，而是给出收益最大化的清洗时间建议，确保清洗投入低于发电增益，从而锁定增量收益。</w:t>
      </w:r>
    </w:p>
    <w:bookmarkEnd w:id="24"/>
    <w:bookmarkStart w:name="u0804dbc4" w:id="25"/>
    <w:p>
      <w:pPr>
        <w:spacing w:after="50" w:line="360" w:lineRule="auto" w:beforeLines="100"/>
        <w:ind w:left="0"/>
        <w:jc w:val="left"/>
      </w:pPr>
      <w:bookmarkStart w:name="ud5431bd5" w:id="26"/>
      <w:r>
        <w:rPr>
          <w:rFonts w:eastAsia="宋体" w:ascii="宋体"/>
        </w:rPr>
        <w:drawing>
          <wp:inline distT="0" distB="0" distL="0" distR="0">
            <wp:extent cx="5842000" cy="436389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473333" cy="14546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6"/>
    </w:p>
    <w:bookmarkEnd w:id="25"/>
    <w:bookmarkStart w:name="uc85c4d43" w:id="27"/>
    <w:p>
      <w:pPr>
        <w:spacing w:after="50" w:line="360" w:lineRule="auto" w:beforeLines="100"/>
        <w:ind w:left="0"/>
        <w:jc w:val="left"/>
      </w:pPr>
      <w:bookmarkStart w:name="iSGJe" w:id="28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8"/>
    </w:p>
    <w:bookmarkEnd w:id="27"/>
    <w:bookmarkStart w:name="8c37e0d5c56d638b83ab387aa7cbb315" w:id="2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算法不仅负责“发现”，还负责“验收”。</w:t>
      </w:r>
    </w:p>
    <w:bookmarkEnd w:id="29"/>
    <w:bookmarkStart w:name="25a6faf302c3c22f929b9795800bafc1" w:id="30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维修前后对标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在智能工单系统中，当运维人员对AI指出的低效组串进行消缺（如清洗或更换组件）后，系统会</w:t>
      </w:r>
      <w:r>
        <w:rPr>
          <w:rFonts w:ascii="宋体" w:hAnsi="Times New Roman" w:eastAsia="宋体"/>
          <w:b/>
          <w:i w:val="false"/>
          <w:color w:val="000000"/>
          <w:sz w:val="22"/>
        </w:rPr>
        <w:t>自动对比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维修前后的发电数据。只有确认发电效率得到实质性提升，该工单才会被允许结案。</w:t>
      </w:r>
    </w:p>
    <w:bookmarkEnd w:id="30"/>
    <w:bookmarkStart w:name="9478a9dfd34bb704da4d08cfa7ff707b" w:id="31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收益锁定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通过这种闭环审计，我们确保了那3%-5%的收益不是实验室的理论推演，而是实打实回归到业主的账本真值中。</w:t>
      </w:r>
    </w:p>
    <w:bookmarkEnd w:id="31"/>
    <w:bookmarkStart w:name="u978a6b51" w:id="32"/>
    <w:p>
      <w:pPr>
        <w:spacing w:after="50" w:line="360" w:lineRule="auto" w:beforeLines="100"/>
        <w:ind w:left="0"/>
        <w:jc w:val="left"/>
      </w:pPr>
      <w:bookmarkStart w:name="ubc9aedcd" w:id="33"/>
      <w:r>
        <w:rPr>
          <w:rFonts w:eastAsia="宋体" w:ascii="宋体"/>
        </w:rPr>
        <w:drawing>
          <wp:inline distT="0" distB="0" distL="0" distR="0">
            <wp:extent cx="5841999" cy="391994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523200" cy="1377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3"/>
    </w:p>
    <w:bookmarkEnd w:id="32"/>
    <w:bookmarkStart w:name="b8ffffeae9f601b3c6c909bb81c77e7e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总结逻辑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我们用</w:t>
      </w:r>
      <w:r>
        <w:rPr>
          <w:rFonts w:ascii="宋体" w:hAnsi="Times New Roman" w:eastAsia="宋体"/>
          <w:b/>
          <w:i w:val="false"/>
          <w:color w:val="004347"/>
          <w:sz w:val="22"/>
        </w:rPr>
        <w:t>红外抄表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锁定物理真值，用</w:t>
      </w:r>
      <w:r>
        <w:rPr>
          <w:rFonts w:ascii="宋体" w:hAnsi="Times New Roman" w:eastAsia="宋体"/>
          <w:b/>
          <w:i w:val="false"/>
          <w:color w:val="004347"/>
          <w:sz w:val="22"/>
        </w:rPr>
        <w:t>AI算法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扫描隐形病灶，用</w:t>
      </w:r>
      <w:r>
        <w:rPr>
          <w:rFonts w:ascii="宋体" w:hAnsi="Times New Roman" w:eastAsia="宋体"/>
          <w:b/>
          <w:i w:val="false"/>
          <w:color w:val="004347"/>
          <w:sz w:val="22"/>
        </w:rPr>
        <w:t>离散率分析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定位差生，最后用</w:t>
      </w:r>
      <w:r>
        <w:rPr>
          <w:rFonts w:ascii="宋体" w:hAnsi="Times New Roman" w:eastAsia="宋体"/>
          <w:b/>
          <w:i w:val="false"/>
          <w:color w:val="004347"/>
          <w:sz w:val="22"/>
        </w:rPr>
        <w:t>ROI看板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呈现资产价值的确定性。 这就是我们敢于承诺“配置一项自带干粮的增值资产”的技术底气。</w:t>
      </w:r>
    </w:p>
    <w:bookmarkEnd w:id="34"/>
    <w:bookmarkStart w:name="8588a8436a9064d50859204b03345d85" w:id="35"/>
    <w:p>
      <w:pPr>
        <w:spacing w:after="50" w:line="360" w:lineRule="auto" w:beforeLines="100"/>
        <w:ind w:left="0"/>
        <w:jc w:val="left"/>
      </w:pPr>
      <w:bookmarkStart w:name="DNRhl" w:id="36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</w:p>
    <w:bookmarkEnd w:id="35"/>
    <w:bookmarkStart w:name="u00872bd5" w:id="37"/>
    <w:p>
      <w:pPr>
        <w:spacing w:after="50" w:line="360" w:lineRule="auto" w:beforeLines="100"/>
        <w:ind w:left="0"/>
        <w:jc w:val="left"/>
      </w:pPr>
      <w:bookmarkStart w:name="J96Mf" w:id="38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  <w:bookmarkStart w:name="FqXNE" w:id="39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9"/>
    </w:p>
    <w:bookmarkEnd w:id="37"/>
    <w:bookmarkStart w:name="uf65c4dbd" w:id="40"/>
    <w:p>
      <w:pPr>
        <w:spacing w:after="50" w:line="360" w:lineRule="auto" w:beforeLines="100"/>
        <w:ind w:left="0"/>
        <w:jc w:val="left"/>
      </w:pPr>
      <w:bookmarkStart w:name="yb22h" w:id="41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1"/>
    </w:p>
    <w:bookmarkEnd w:id="40"/>
    <w:bookmarkStart w:name="u287d979c" w:id="42"/>
    <w:p>
      <w:pPr>
        <w:spacing w:after="50" w:line="360" w:lineRule="auto" w:beforeLines="100"/>
        <w:ind w:left="0"/>
        <w:jc w:val="left"/>
      </w:pPr>
      <w:bookmarkStart w:name="u6fa38a12" w:id="43"/>
      <w:r>
        <w:rPr>
          <w:rFonts w:eastAsia="宋体" w:ascii="宋体"/>
        </w:rPr>
        <w:drawing>
          <wp:inline distT="0" distB="0" distL="0" distR="0">
            <wp:extent cx="5841999" cy="5257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345333" cy="10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  <w:bookmarkStart w:name="u6e503f24" w:id="44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4"/>
      <w:bookmarkStart w:name="u27e75ab8" w:id="45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5"/>
      <w:bookmarkStart w:name="u5fd12d62" w:id="46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6"/>
      <w:bookmarkStart w:name="u12a71f94" w:id="47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  <w:bookmarkStart w:name="ubc310806" w:id="48"/>
      <w:r>
        <w:rPr>
          <w:rFonts w:eastAsia="宋体" w:ascii="宋体"/>
        </w:rPr>
        <w:drawing>
          <wp:inline distT="0" distB="0" distL="0" distR="0">
            <wp:extent cx="5841999" cy="28683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14266" cy="408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8"/>
    </w:p>
    <w:bookmarkEnd w:id="42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