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【轨物方案】光伏电站的“隐形亏损”：为什么你的资产正在沦为“哑巴”设备？</w:t>
      </w:r>
    </w:p>
    <w:bookmarkEnd w:id="0"/>
    <w:bookmarkStart w:name="u5d4ca909" w:id="1"/>
    <w:p>
      <w:pPr>
        <w:spacing w:after="50" w:line="360" w:lineRule="auto" w:beforeLines="100"/>
        <w:ind w:left="0"/>
        <w:jc w:val="left"/>
      </w:pPr>
      <w:bookmarkStart w:name="fC6Tt" w:id="2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1"/>
    <w:bookmarkStart w:name="ufb1d7c1d" w:id="3"/>
    <w:p>
      <w:pPr>
        <w:spacing w:after="50" w:line="360" w:lineRule="auto" w:beforeLines="100"/>
        <w:ind w:left="0"/>
        <w:jc w:val="left"/>
      </w:pPr>
      <w:bookmarkStart w:name="u760e4993" w:id="4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d07c15c1ad82f0a5954e7ba555975638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中国存量光伏电站规模已突破 400GW，这本应是一座巨大的绿色金矿。然而，在辉煌的装机数字背后，一场“静默海啸”正席卷全行业。早期投运的电站正面临设备老化、效率衰减，以及 2G 信号退网带来的通讯断层。大量的资产正在无声无息地沦为“盲盒”——它们无法开口说话，无法上报数据，成为资产管理者眼中日益缩水的“无形失血点”。</w:t>
      </w:r>
    </w:p>
    <w:bookmarkEnd w:id="5"/>
    <w:bookmarkStart w:name="dec24217bacc96faee24efeacabf34ef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很多业主陷入了一个反直觉的财务误区：认为逆变器厂家自带的免费监控软件能节省成本。但在资管专家的视角中，这些“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免费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”监控往往是亏损的元凶。当设备进入衰减期，缺乏独立审计的监控只会让业主对每天蒸发的利润视而不见。在电力市场化改革的当下，这种信息的断层正让资产价值加速流失。</w:t>
      </w:r>
    </w:p>
    <w:bookmarkEnd w:id="6"/>
    <w:bookmarkStart w:name="u94267a98" w:id="7"/>
    <w:p>
      <w:pPr>
        <w:spacing w:after="50" w:line="360" w:lineRule="auto" w:beforeLines="100"/>
        <w:ind w:left="0"/>
        <w:jc w:val="left"/>
      </w:pPr>
      <w:bookmarkStart w:name="u5264e107" w:id="8"/>
      <w:r>
        <w:rPr>
          <w:rFonts w:eastAsia="宋体" w:ascii="宋体"/>
        </w:rPr>
        <w:drawing>
          <wp:inline distT="0" distB="0" distL="0" distR="0">
            <wp:extent cx="5841999" cy="391994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23200" cy="1377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uc562a71c" w:id="9"/>
    <w:p>
      <w:pPr>
        <w:spacing w:after="50" w:line="360" w:lineRule="auto" w:beforeLines="100"/>
        <w:ind w:left="0"/>
        <w:jc w:val="left"/>
      </w:pPr>
      <w:bookmarkStart w:name="brZxH" w:id="10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7644c551849173157b283368b170666c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传统的光伏电站技改往往像一场伤筋动骨的“截肢手术”：断电停机、剥线接线，不仅施工成本高昂，稍有不慎还会对脆弱的老旧线路造成不可逆的“医源性损伤”。</w:t>
      </w:r>
    </w:p>
    <w:bookmarkEnd w:id="11"/>
    <w:bookmarkStart w:name="ea94afa7575dc96fdb07a822fd32c0f0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轨物科技回归运维的“第一性原理”，将技改带入了“微创时代”。我们的方案遵循“非侵入式安装”原则，通过磁吸与卡扣设计，让电站焕新如同喝杯咖啡般简单。</w:t>
      </w:r>
    </w:p>
    <w:bookmarkEnd w:id="12"/>
    <w:bookmarkStart w:name="ff1c469ab7e65d5458badbd8e66d7236" w:id="13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红外抄表贴 (The Eye)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采用“创可贴”式设计，磁吸在老电表红外口，1 分钟即可读取读数。无需换表、无需申请断电，彻底解决“算钱难”的顽疾。</w:t>
      </w:r>
    </w:p>
    <w:bookmarkEnd w:id="13"/>
    <w:bookmarkStart w:name="d506ce77b721e5b553181ff7e562d959" w:id="14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万能数据棒 (The Link)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作为全协议翻译器，它兼容市面 95% 以上的逆变器品牌。只需拔掉失效的旧模块，插上 4G 数据棒，即可瞬间接管全站数据流。</w:t>
      </w:r>
    </w:p>
    <w:bookmarkEnd w:id="14"/>
    <w:bookmarkStart w:name="ce22c48f67611ebeb831ee5d2ff4e42f" w:id="15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边缘安全网关 (The Brain)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充当配电柜里的“热感雷达”。其卡扣式探头直接固定在线缆上，7×24 小时监测“热失控”风险，将火灾隐患掐灭在萌芽状态。</w:t>
      </w:r>
    </w:p>
    <w:bookmarkEnd w:id="15"/>
    <w:bookmarkStart w:name="u1048dd02" w:id="16"/>
    <w:p>
      <w:pPr>
        <w:spacing w:after="50" w:line="360" w:lineRule="auto" w:beforeLines="100"/>
        <w:ind w:left="0"/>
        <w:jc w:val="left"/>
      </w:pPr>
      <w:bookmarkStart w:name="u02c2bc36" w:id="17"/>
      <w:r>
        <w:rPr>
          <w:rFonts w:eastAsia="宋体" w:ascii="宋体"/>
        </w:rPr>
        <w:drawing>
          <wp:inline distT="0" distB="0" distL="0" distR="0">
            <wp:extent cx="5841999" cy="391994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23200" cy="1377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e88c9682dbd5946e5ff03a726ac9845a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“我们这套方案，不动一根电线，不剥一层皮。您的工人不用担心手重弄坏老设备，完全没有施工风险。喝杯咖啡的时间，就能把一个站改完。”</w:t>
      </w:r>
    </w:p>
    <w:bookmarkEnd w:id="18"/>
    <w:bookmarkStart w:name="ube5c0728" w:id="19"/>
    <w:p>
      <w:pPr>
        <w:spacing w:after="50" w:line="360" w:lineRule="auto" w:beforeLines="100"/>
        <w:ind w:left="0"/>
        <w:jc w:val="left"/>
      </w:pPr>
      <w:bookmarkStart w:name="oRb6w" w:id="20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4d958004bcb3b00852b9564b503581f6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在分布式光伏的商业博弈中，身份重叠往往意味着利益冲突。逆变器厂家自带的 APP 本质上是“运动员”，当设备效率异常衰减时，它们缺乏“自证其罪”的动力。</w:t>
      </w:r>
    </w:p>
    <w:bookmarkEnd w:id="21"/>
    <w:bookmarkStart w:name="91d5940ee2fde871fe7533b45edd31f2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资方真正需要的是“独立审计师”</w:t>
      </w:r>
      <w:r>
        <w:rPr>
          <w:rFonts w:ascii="宋体" w:hAnsi="Times New Roman" w:eastAsia="宋体"/>
          <w:b/>
          <w:i w:val="false"/>
          <w:color w:val="000000"/>
          <w:sz w:val="22"/>
        </w:rPr>
        <w:t>。</w:t>
      </w:r>
      <w:r>
        <w:rPr>
          <w:rFonts w:ascii="宋体" w:hAnsi="Times New Roman" w:eastAsia="宋体"/>
          <w:b/>
          <w:i w:val="false"/>
          <w:color w:val="004347"/>
          <w:sz w:val="22"/>
        </w:rPr>
        <w:t>轨物科技作为中立的第三方，通过红外读取电表真值（唯一真值）与逆变器数据对标，维护业主的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数据主权。数据是资产定价与风险控制的基石；只有具备公信力的第三方审计，才能作为银行抵押、保险理赔和资产交易的信任根基。在厂家可能倒闭、2G 信号退网的背景下，拥有独立的数据主权，就是保住资产的“真话权”。</w:t>
      </w:r>
    </w:p>
    <w:bookmarkEnd w:id="22"/>
    <w:bookmarkStart w:name="u463a0778" w:id="23"/>
    <w:p>
      <w:pPr>
        <w:spacing w:after="50" w:line="360" w:lineRule="auto" w:beforeLines="100"/>
        <w:ind w:left="0"/>
        <w:jc w:val="left"/>
      </w:pPr>
      <w:bookmarkStart w:name="u7b706bf0" w:id="24"/>
      <w:r>
        <w:rPr>
          <w:rFonts w:eastAsia="宋体" w:ascii="宋体"/>
        </w:rPr>
        <w:drawing>
          <wp:inline distT="0" distB="0" distL="0" distR="0">
            <wp:extent cx="5841999" cy="391994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23200" cy="1377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u53cce362" w:id="25"/>
    <w:p>
      <w:pPr>
        <w:spacing w:after="50" w:line="360" w:lineRule="auto" w:beforeLines="100"/>
        <w:ind w:left="0"/>
        <w:jc w:val="left"/>
      </w:pPr>
      <w:bookmarkStart w:name="DCyFS" w:id="26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6c1d110bd084dfc2edb3bf3e8dc42ef5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很多 CFO 将数字化转型视为支出，但在轨物科技的逻辑中，这是一项能自我增值的理财产品。我们提出了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TCO（总拥有成本）负成本模型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：通过 5 年打包服务，将传统的运营成本（OPEX）转化为建设投入（CAPEX），不仅能享受</w:t>
      </w:r>
      <w:r>
        <w:rPr>
          <w:rFonts w:ascii="宋体" w:hAnsi="Times New Roman" w:eastAsia="宋体"/>
          <w:b/>
          <w:i w:val="false"/>
          <w:color w:val="004347"/>
          <w:sz w:val="22"/>
        </w:rPr>
        <w:t>首年抵税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的财务红利，更通过 AI 找回的电费增益覆盖了所有投入。</w:t>
      </w:r>
    </w:p>
    <w:bookmarkEnd w:id="27"/>
    <w:bookmarkStart w:name="ceb7506a1a184937b88fb6230544a677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以下是 100kW 工商业电站 25 年全生命周期的财务对标：</w:t>
      </w:r>
    </w:p>
    <w:bookmarkEnd w:id="28"/>
    <w:bookmarkStart w:name="u21f102e4" w:id="29"/>
    <w:p>
      <w:pPr>
        <w:spacing w:after="50" w:line="360" w:lineRule="auto" w:beforeLines="100"/>
        <w:ind w:left="0"/>
        <w:jc w:val="left"/>
      </w:pPr>
      <w:bookmarkStart w:name="uce11d194" w:id="30"/>
      <w:r>
        <w:rPr>
          <w:rFonts w:eastAsia="宋体" w:ascii="宋体"/>
        </w:rPr>
        <w:drawing>
          <wp:inline distT="0" distB="0" distL="0" distR="0">
            <wp:extent cx="5842000" cy="21043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215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29"/>
    <w:bookmarkStart w:name="600e0815206c38df4929ea47323069fb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这意味着，选择轨物不是在消费，而是在配置一项“自带干粮”的盈利杠杆。</w:t>
      </w:r>
    </w:p>
    <w:bookmarkEnd w:id="31"/>
    <w:bookmarkStart w:name="u06f0ca87" w:id="32"/>
    <w:p>
      <w:pPr>
        <w:spacing w:after="50" w:line="360" w:lineRule="auto" w:beforeLines="100"/>
        <w:ind w:left="0"/>
        <w:jc w:val="left"/>
      </w:pPr>
      <w:bookmarkStart w:name="Ybc7p" w:id="33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fa3d18786f93a8c780d2c72ebe050a02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轨物科技旗下的 AI 资产诊断中心像一台高精度的 CT 扫描仪，它将枯燥的技术参数转化为直观的财务语言，深度透视电站的“亚健康”状态。</w:t>
      </w:r>
    </w:p>
    <w:bookmarkEnd w:id="34"/>
    <w:bookmarkStart w:name="8fb8afbc602f0e91d34c7e2157aca470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 I-V 曲线云扫描与杭电博导团队开发的深度学习模型，系统可精准识别以下病灶：</w:t>
      </w:r>
    </w:p>
    <w:bookmarkEnd w:id="35"/>
    <w:bookmarkStart w:name="b1c728d06ebefc738327e014ab36fe6c" w:id="3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10+ 种故障指纹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包括灰尘遮挡、组件隐裂、二极管击穿、PID 衰减等。</w:t>
      </w:r>
    </w:p>
    <w:bookmarkEnd w:id="36"/>
    <w:bookmarkStart w:name="21c6ff5c25fcd645f74a3f5c3481a2bb" w:id="3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低效组串排行榜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自动揪出全站“偷懒”的组串，拒绝盲目巡检。</w:t>
      </w:r>
    </w:p>
    <w:bookmarkEnd w:id="37"/>
    <w:bookmarkStart w:name="39f424e2176a2282554a10244b167d76" w:id="3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损失量化模型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AI 会告诉你：“今日因组串失配损失电量 15kWh，折合人民币 12.50 元。”</w:t>
      </w:r>
    </w:p>
    <w:bookmarkEnd w:id="38"/>
    <w:bookmarkStart w:name="u73553120" w:id="39"/>
    <w:p>
      <w:pPr>
        <w:spacing w:after="50" w:line="360" w:lineRule="auto" w:beforeLines="100"/>
        <w:ind w:left="0"/>
        <w:jc w:val="left"/>
      </w:pPr>
      <w:bookmarkStart w:name="u5c8f1ed0" w:id="40"/>
      <w:r>
        <w:rPr>
          <w:rFonts w:eastAsia="宋体" w:ascii="宋体"/>
        </w:rPr>
        <w:drawing>
          <wp:inline distT="0" distB="0" distL="0" distR="0">
            <wp:extent cx="5841999" cy="39199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06267" cy="1375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9d164aa1f9f9c91221251c32e3288417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从“报故障”到“报损失金额”的转变，让每一笔运维投入都能直接对标收益增量。</w:t>
      </w:r>
    </w:p>
    <w:bookmarkEnd w:id="41"/>
    <w:bookmarkStart w:name="u8f1123e0" w:id="42"/>
    <w:p>
      <w:pPr>
        <w:spacing w:after="50" w:line="360" w:lineRule="auto" w:beforeLines="100"/>
        <w:ind w:left="0"/>
        <w:jc w:val="left"/>
      </w:pPr>
      <w:bookmarkStart w:name="RN89g" w:id="43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1835251d27ef5f121dd7f6ccbe4b0c63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传统的“保姆式运维”依赖人力堆砌，效率低下且责任边界模糊。轨物科技倡导“审计式管理”，实现运维模式的根本性变革，将管理的“摩擦力”降至最低。</w:t>
      </w:r>
    </w:p>
    <w:bookmarkEnd w:id="44"/>
    <w:bookmarkStart w:name="d0ae71c9ac7a032542b9579a5a10ccb9" w:id="4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算力替代人力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红外抄表贴替代了人工驱车几十公里的繁琐，单个运维经理的管理容量可从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10MW 跃升至 50MW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45"/>
    <w:bookmarkStart w:name="4f405fd21cdceb4246fe85a58cbc9239" w:id="4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别背锅，留证据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边缘安全网关充当“黑匣子”，毫秒级捕捉线缆超温等安全警报。系统生成的“告警溯源时间轴”是运维商最强有力的数字化免责证据。</w:t>
      </w:r>
    </w:p>
    <w:bookmarkEnd w:id="46"/>
    <w:bookmarkStart w:name="u6cf493d5" w:id="47"/>
    <w:p>
      <w:pPr>
        <w:spacing w:after="50" w:line="360" w:lineRule="auto" w:beforeLines="100"/>
        <w:ind w:left="0"/>
        <w:jc w:val="left"/>
      </w:pPr>
      <w:bookmarkStart w:name="ud571d584" w:id="48"/>
      <w:r>
        <w:rPr>
          <w:rFonts w:eastAsia="宋体" w:ascii="宋体"/>
        </w:rPr>
        <w:drawing>
          <wp:inline distT="0" distB="0" distL="0" distR="0">
            <wp:extent cx="5841999" cy="39199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06267" cy="1375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e5cc929f7419565491ea1850d2a72423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“我们的系统不仅帮您‘抢回’看不见的钱，更帮您‘挡住’看不见的火。”</w:t>
      </w:r>
    </w:p>
    <w:bookmarkEnd w:id="49"/>
    <w:bookmarkStart w:name="u1ad6c8d0" w:id="50"/>
    <w:p>
      <w:pPr>
        <w:spacing w:after="50" w:line="360" w:lineRule="auto" w:beforeLines="100"/>
        <w:ind w:left="0"/>
        <w:jc w:val="left"/>
      </w:pPr>
      <w:bookmarkStart w:name="RIWJ9" w:id="51"/>
      <w:r>
        <w:rPr>
          <w:rFonts w:eastAsia="宋体" w:ascii="宋体"/>
        </w:rPr>
        <w:drawing>
          <wp:inline distT="0" distB="0" distL="0" distR="0">
            <wp:extent cx="5841999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2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ae2c71f87cdffcbb376b88c6415929e0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数字化不是目的，资产的持续增值才是。在存量市场竞争白热化的今天，我们要回归运维的“第一性原理”：用算力替代人力，用算法找回消失的 5%。</w:t>
      </w:r>
    </w:p>
    <w:bookmarkEnd w:id="52"/>
    <w:bookmarkStart w:name="bed7526ffa44316596570446867032f9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在电力市场化交易加速到来的未来，你愿意让你的电站继续带病工作、成为账目模糊的负担，还是让它通过数字化审计，进化为一台精准、透明的现金流机器？</w:t>
      </w:r>
    </w:p>
    <w:bookmarkEnd w:id="53"/>
    <w:bookmarkStart w:name="9442371399f2f5a72119a416458c340b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让每一度电都算数，从打破沉默开始。</w:t>
      </w:r>
    </w:p>
    <w:bookmarkEnd w:id="54"/>
    <w:bookmarkStart w:name="ce5e82dd6026a99c4ddaf51c43a7aeda" w:id="55"/>
    <w:p>
      <w:pPr>
        <w:spacing w:after="50" w:line="360" w:lineRule="auto" w:beforeLines="100"/>
        <w:ind w:left="0"/>
        <w:jc w:val="left"/>
      </w:pPr>
      <w:bookmarkStart w:name="DNRhl" w:id="56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u00872bd5" w:id="57"/>
    <w:p>
      <w:pPr>
        <w:spacing w:after="50" w:line="360" w:lineRule="auto" w:beforeLines="100"/>
        <w:ind w:left="0"/>
        <w:jc w:val="left"/>
      </w:pPr>
      <w:bookmarkStart w:name="J96Mf" w:id="58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8"/>
      <w:bookmarkStart w:name="FqXNE" w:id="59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</w:p>
    <w:bookmarkEnd w:id="57"/>
    <w:bookmarkStart w:name="uf65c4dbd" w:id="60"/>
    <w:p>
      <w:pPr>
        <w:spacing w:after="50" w:line="360" w:lineRule="auto" w:beforeLines="100"/>
        <w:ind w:left="0"/>
        <w:jc w:val="left"/>
      </w:pPr>
      <w:bookmarkStart w:name="yb22h" w:id="61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0"/>
    <w:bookmarkStart w:name="u78de04a2" w:id="62"/>
    <w:p>
      <w:pPr>
        <w:spacing w:after="50" w:line="360" w:lineRule="auto" w:beforeLines="100"/>
        <w:ind w:left="0"/>
        <w:jc w:val="left"/>
      </w:pPr>
      <w:bookmarkStart w:name="tJzZ2" w:id="63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345333" cy="10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2"/>
    <w:bookmarkStart w:name="u287d979c" w:id="64"/>
    <w:p>
      <w:pPr>
        <w:spacing w:after="50" w:line="360" w:lineRule="auto" w:beforeLines="100"/>
        <w:ind w:left="0"/>
        <w:jc w:val="left"/>
      </w:pPr>
      <w:bookmarkStart w:name="uef8118a9" w:id="65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  <w:bookmarkStart w:name="uc6ae24c1" w:id="66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  <w:bookmarkStart w:name="u91d1f2c1" w:id="67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  <w:bookmarkStart w:name="u18214782" w:id="68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  <w:bookmarkStart w:name="u90340a41" w:id="69"/>
      <w:r>
        <w:rPr>
          <w:rFonts w:eastAsia="宋体" w:ascii="宋体"/>
        </w:rPr>
        <w:drawing>
          <wp:inline distT="0" distB="0" distL="0" distR="0">
            <wp:extent cx="5841999" cy="28683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314266" cy="408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</w:p>
    <w:bookmarkEnd w:id="6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