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【轨物方案】“比特”驱动“瓦特”：揭秘光伏清洁机器人智能控制系统的三大核心硬件</w:t>
      </w:r>
    </w:p>
    <w:bookmarkEnd w:id="0"/>
    <w:bookmarkStart w:name="w4tYK" w:id="1"/>
    <w:p>
      <w:pPr>
        <w:pStyle w:val="Heading1"/>
        <w:spacing w:after="50" w:line="360" w:lineRule="auto" w:beforeLines="100"/>
        <w:ind w:left="0"/>
        <w:jc w:val="left"/>
      </w:pPr>
      <w:bookmarkStart w:name="fC6Tt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0a3290265afb0ea8c32b6bfe95e10b34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GW级大型光伏电站时代，光伏清洁机器人已成为继组件、支架、逆变器之后的“第四大核心件”。由于电站大多部署在无人区或地势险要处，传统的“人海战术”运维模式正面临成本高昂、巡检效率低、安全风险大等严峻挑战。杭州轨物科技有限公司凭借深耕物联网与人工智能领域的深度积累，推出了</w:t>
      </w:r>
      <w:r>
        <w:rPr>
          <w:rFonts w:ascii="宋体" w:hAnsi="Times New Roman" w:eastAsia="宋体"/>
          <w:b/>
          <w:i w:val="false"/>
          <w:color w:val="004347"/>
          <w:sz w:val="22"/>
        </w:rPr>
        <w:t>光伏清洁机器人智能控制与运维解决方案</w:t>
      </w:r>
      <w:r>
        <w:rPr>
          <w:rFonts w:ascii="宋体" w:hAnsi="Times New Roman" w:eastAsia="宋体"/>
          <w:b/>
          <w:i w:val="false"/>
          <w:color w:val="000000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而其中的</w:t>
      </w:r>
      <w:r>
        <w:rPr>
          <w:rFonts w:ascii="宋体" w:hAnsi="Times New Roman" w:eastAsia="宋体"/>
          <w:b/>
          <w:i w:val="false"/>
          <w:color w:val="004347"/>
          <w:sz w:val="22"/>
        </w:rPr>
        <w:t>机器人控制板、电机驱动板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以及</w:t>
      </w:r>
      <w:r>
        <w:rPr>
          <w:rFonts w:ascii="宋体" w:hAnsi="Times New Roman" w:eastAsia="宋体"/>
          <w:b/>
          <w:i w:val="false"/>
          <w:color w:val="004347"/>
          <w:sz w:val="22"/>
        </w:rPr>
        <w:t>转运车控制板</w:t>
      </w:r>
      <w:r>
        <w:rPr>
          <w:rFonts w:ascii="宋体" w:hAnsi="Times New Roman" w:eastAsia="宋体"/>
          <w:b/>
          <w:i w:val="false"/>
          <w:color w:val="000000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正是实现“无人值守”智能运维的核心硬件支撑。</w:t>
      </w:r>
    </w:p>
    <w:bookmarkEnd w:id="3"/>
    <w:bookmarkStart w:name="u8814ba2a" w:id="4"/>
    <w:p>
      <w:pPr>
        <w:spacing w:after="50" w:line="360" w:lineRule="auto" w:beforeLines="100"/>
        <w:ind w:left="0"/>
        <w:jc w:val="left"/>
      </w:pPr>
      <w:bookmarkStart w:name="ubcd1e5ac" w:id="5"/>
      <w:r>
        <w:rPr>
          <w:rFonts w:eastAsia="宋体" w:ascii="宋体"/>
        </w:rPr>
        <w:drawing>
          <wp:inline distT="0" distB="0" distL="0" distR="0">
            <wp:extent cx="5841999" cy="28391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0" cy="1301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1fe9cae5" w:id="6"/>
    <w:p>
      <w:pPr>
        <w:spacing w:after="50" w:line="360" w:lineRule="auto" w:beforeLines="100"/>
        <w:ind w:left="0"/>
        <w:jc w:val="left"/>
      </w:pPr>
      <w:bookmarkStart w:name="ud8bcbf4d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f96a17efe9acc515fa6b532b383c36a0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机器人控制板是整个清洁系统的指挥中枢，其核心作用在于赋予机器人自主决策与环境适应能力。</w:t>
      </w:r>
    </w:p>
    <w:bookmarkEnd w:id="8"/>
    <w:bookmarkStart w:name="bc578961192b96348c76038738a8d4d2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智能纠偏与姿态矫正：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在复杂的非结构化环境（如山地、丘陵）中，机器人极易发生偏斜。该控制板</w:t>
      </w:r>
      <w:r>
        <w:rPr>
          <w:rFonts w:ascii="宋体" w:hAnsi="Times New Roman" w:eastAsia="宋体"/>
          <w:b/>
          <w:i w:val="false"/>
          <w:color w:val="004347"/>
          <w:sz w:val="22"/>
        </w:rPr>
        <w:t>支持自主姿态识别，能有效防止机器人偏斜过大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，确保其始终沿组件边框精准运行。通过自主研发的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基于电机电流反馈的姿态闭环控制算法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，无需昂贵的IMU即可实现厘米级导航精度。</w:t>
      </w:r>
    </w:p>
    <w:bookmarkEnd w:id="9"/>
    <w:bookmarkStart w:name="0d75c641ce632bdf825d9617e3763f71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多模态通讯：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控制板集成了本地LoRa组网、4G/5G上网以及LTE功能，支持基站“免接线”部署。这确保了在大型电站中，即使某个通讯节点故障，数据也能通过LoRaWAN星型架构实现漫游与自动切换，保证指令下发的实时性。</w:t>
      </w:r>
    </w:p>
    <w:bookmarkEnd w:id="10"/>
    <w:bookmarkStart w:name="b2f82419a93918bdb928835b5e757fe7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全生命周期管理：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硬件支持</w:t>
      </w:r>
      <w:r>
        <w:rPr>
          <w:rFonts w:ascii="宋体" w:hAnsi="Times New Roman" w:eastAsia="宋体"/>
          <w:b/>
          <w:i w:val="false"/>
          <w:color w:val="004347"/>
          <w:sz w:val="22"/>
        </w:rPr>
        <w:t>远程调试与固件更新（OTA）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，并具备掉电检测、加热及散热功能，以适应极端户外工况。</w:t>
      </w:r>
    </w:p>
    <w:bookmarkEnd w:id="11"/>
    <w:bookmarkStart w:name="ue4dae2cd" w:id="12"/>
    <w:p>
      <w:pPr>
        <w:spacing w:after="50" w:line="360" w:lineRule="auto" w:beforeLines="100"/>
        <w:ind w:left="0"/>
        <w:jc w:val="left"/>
      </w:pPr>
      <w:bookmarkStart w:name="u8c9c91c7" w:id="13"/>
      <w:r>
        <w:rPr>
          <w:rFonts w:eastAsia="宋体" w:ascii="宋体"/>
        </w:rPr>
        <w:drawing>
          <wp:inline distT="0" distB="0" distL="0" distR="0">
            <wp:extent cx="5842000" cy="327147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45334" cy="13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efad6ea6" w:id="14"/>
    <w:p>
      <w:pPr>
        <w:spacing w:after="50" w:line="360" w:lineRule="auto" w:beforeLines="100"/>
        <w:ind w:left="0"/>
        <w:jc w:val="left"/>
      </w:pPr>
      <w:bookmarkStart w:name="VgqkF" w:id="15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448a99144319c9cb1f57336697cabf4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如果说控制板是脑，那么电机驱动板就是机器人的手脚。轨物科技的电机驱动方案强调“控驱一体化”，显著缩短了厂商的研发周期。</w:t>
      </w:r>
    </w:p>
    <w:bookmarkEnd w:id="16"/>
    <w:bookmarkStart w:name="f1cd02c64a59b70d8205fcdbe1b683b1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高精度闭环控制：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驱动板支持多路无刷或有刷电机接口，能够</w:t>
      </w:r>
      <w:r>
        <w:rPr>
          <w:rFonts w:ascii="宋体" w:hAnsi="Times New Roman" w:eastAsia="宋体"/>
          <w:b/>
          <w:i w:val="false"/>
          <w:color w:val="004347"/>
          <w:sz w:val="22"/>
        </w:rPr>
        <w:t>实时检测电机电流，监测精度优于1%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这种高精度的电流反馈对于保护光伏组件至关重要——当刷丝与组件表面力学交互异常时，驱动板能灵敏感知负载变化并调整转速，</w:t>
      </w:r>
      <w:r>
        <w:rPr>
          <w:rFonts w:ascii="宋体" w:hAnsi="Times New Roman" w:eastAsia="宋体"/>
          <w:b/>
          <w:i w:val="false"/>
          <w:color w:val="004347"/>
          <w:sz w:val="22"/>
        </w:rPr>
        <w:t>最大程度减少对组件表面防反射膜的磨损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7"/>
    <w:bookmarkStart w:name="2159d3d2ea060e4014a2c7952f359b70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智能充放电管理：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驱动板集成智能充放电控制功能，确保机器人在清扫任务与自动充电之间实现最优能量分配，保障7x24小时的自主作业能力。</w:t>
      </w:r>
    </w:p>
    <w:bookmarkEnd w:id="18"/>
    <w:bookmarkStart w:name="b64853572f0e8ee9a13271aa568d33a9" w:id="1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高可靠输出：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支持最大驱动电流达10A，能轻松带动大尺寸组件所需的重载滚刷，确保在重度积灰环境下依然拥有出色的清扫效果。</w:t>
      </w:r>
    </w:p>
    <w:bookmarkEnd w:id="19"/>
    <w:bookmarkStart w:name="u617536c3" w:id="20"/>
    <w:p>
      <w:pPr>
        <w:spacing w:after="50" w:line="360" w:lineRule="auto" w:beforeLines="100"/>
        <w:ind w:left="0"/>
        <w:jc w:val="left"/>
      </w:pPr>
      <w:bookmarkStart w:name="uf803c79d" w:id="21"/>
      <w:r>
        <w:rPr>
          <w:rFonts w:eastAsia="宋体" w:ascii="宋体"/>
        </w:rPr>
        <w:drawing>
          <wp:inline distT="0" distB="0" distL="0" distR="0">
            <wp:extent cx="5841999" cy="39198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94534" cy="1609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7dfd0992" w:id="22"/>
    <w:p>
      <w:pPr>
        <w:spacing w:after="50" w:line="360" w:lineRule="auto" w:beforeLines="100"/>
        <w:ind w:left="0"/>
        <w:jc w:val="left"/>
      </w:pPr>
      <w:bookmarkStart w:name="lSgGB" w:id="23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872a7b6b5fb4b2bf5bcb8c79298c6960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在大型地面电站或渔光互补场景中，清洁机器人需要在不同的支架阵列间进行流转。转运车控制板的作用在于实现机器人的全自动化“摆渡”。</w:t>
      </w:r>
    </w:p>
    <w:bookmarkEnd w:id="24"/>
    <w:bookmarkStart w:name="beaf1e008c515463ee60f556739df791" w:id="2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多维度动力协调：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转运车控制板集成了</w:t>
      </w:r>
      <w:r>
        <w:rPr>
          <w:rFonts w:ascii="宋体" w:hAnsi="Times New Roman" w:eastAsia="宋体"/>
          <w:b/>
          <w:i w:val="false"/>
          <w:color w:val="004347"/>
          <w:sz w:val="22"/>
        </w:rPr>
        <w:t>多路电机驱动口，可同时控制升降电机、推杆电机和行走电机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。支持自主姿态识别，防止机器人偏斜过大，通过与桥架系统的协同，它能自动感应阵列间的角度偏差（支持±60°停机角度），实现跨排作业的不脱开连接。</w:t>
      </w:r>
    </w:p>
    <w:bookmarkEnd w:id="25"/>
    <w:bookmarkStart w:name="19d66009f7486356fc89a0ecc66c26e1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多重限位安全防护：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硬件配置了多路限位检测接口，配合自主姿态识别算法，能</w:t>
      </w:r>
      <w:r>
        <w:rPr>
          <w:rFonts w:ascii="宋体" w:hAnsi="Times New Roman" w:eastAsia="宋体"/>
          <w:b/>
          <w:i w:val="false"/>
          <w:color w:val="004347"/>
          <w:sz w:val="22"/>
        </w:rPr>
        <w:t>精准判定转运车位置并预防碰撞风险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，确保机器人在跨越组件间隙或障碍物时的安全性。</w:t>
      </w:r>
    </w:p>
    <w:bookmarkEnd w:id="26"/>
    <w:bookmarkStart w:name="672d3b2637f1b871f973f7e99039bb68" w:id="2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无缝系统联动：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转运车控制板通过485接口与主控系统集成，并接入SCADA平台，实现了“机器人+转运车+云平台”的闭环协同管理。</w:t>
      </w:r>
    </w:p>
    <w:bookmarkEnd w:id="27"/>
    <w:bookmarkStart w:name="u583ebd94" w:id="28"/>
    <w:p>
      <w:pPr>
        <w:spacing w:after="50" w:line="360" w:lineRule="auto" w:beforeLines="100"/>
        <w:ind w:left="0"/>
        <w:jc w:val="left"/>
      </w:pPr>
      <w:bookmarkStart w:name="GMwBW" w:id="29"/>
      <w:r>
        <w:rPr>
          <w:rFonts w:eastAsia="宋体" w:ascii="宋体"/>
        </w:rPr>
        <w:drawing>
          <wp:inline distT="0" distB="0" distL="0" distR="0">
            <wp:extent cx="5841999" cy="39199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351066" cy="1566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e430dfdb" w:id="30"/>
    <w:p>
      <w:pPr>
        <w:spacing w:after="50" w:line="360" w:lineRule="auto" w:beforeLines="100"/>
        <w:ind w:left="0"/>
        <w:jc w:val="left"/>
      </w:pPr>
      <w:bookmarkStart w:name="zv15y" w:id="31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c5b5ccae8ffeb4ad473a6a6b19d75ce2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轨物科技的这三款核心板卡，不仅是单纯的硬件，更是其“产学研用”一体化创新生态的结晶。对于清洁机器人制造厂商而言，选择这套方案具有显著价值：</w:t>
      </w:r>
    </w:p>
    <w:bookmarkEnd w:id="32"/>
    <w:bookmarkStart w:name="31c62cff4c709e9c6dbe5bd20d1a1b75" w:id="33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快速交付：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软硬一体的集成系统让机器人实现“即装即用”，</w:t>
      </w:r>
      <w:r>
        <w:rPr>
          <w:rFonts w:ascii="宋体" w:hAnsi="Times New Roman" w:eastAsia="宋体"/>
          <w:b/>
          <w:i w:val="false"/>
          <w:color w:val="004347"/>
          <w:sz w:val="22"/>
        </w:rPr>
        <w:t>显著缩短50%以上的研发周期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3"/>
    <w:bookmarkStart w:name="3723710356148647025fc9966b96b738" w:id="3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成本友好：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通过算法优化（如电流反馈纠偏）取代昂贵的传感器，有效降低硬件物料成本。</w:t>
      </w:r>
    </w:p>
    <w:bookmarkEnd w:id="34"/>
    <w:bookmarkStart w:name="e853e6df7fbfb090e70d178cb0be5107" w:id="3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行业领先：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轨物科技深度参与起草了</w:t>
      </w:r>
      <w:r>
        <w:rPr>
          <w:rFonts w:ascii="宋体" w:hAnsi="Times New Roman" w:eastAsia="宋体"/>
          <w:b/>
          <w:i w:val="false"/>
          <w:color w:val="004347"/>
          <w:sz w:val="22"/>
        </w:rPr>
        <w:t>国家标准《光伏组件清洁机器人通用技术条件》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，其板卡设计完全符合行业规范与安全要求。</w:t>
      </w:r>
    </w:p>
    <w:bookmarkEnd w:id="35"/>
    <w:bookmarkStart w:name="cb5cf1e604fa06708fa94e448c6d0e57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通过“比特”驱动“瓦特”，机器人控制板、电机驱动板与转运车控制板的组合，正在为全球光伏资产的长期健康与稳定增效保驾护航。</w:t>
      </w:r>
    </w:p>
    <w:bookmarkEnd w:id="36"/>
    <w:bookmarkStart w:name="d4276ddbb27736f16d218a5e55c6f53c" w:id="37"/>
    <w:p>
      <w:pPr>
        <w:spacing w:after="50" w:line="360" w:lineRule="auto" w:beforeLines="100"/>
        <w:ind w:left="0"/>
        <w:jc w:val="left"/>
      </w:pPr>
      <w:bookmarkStart w:name="DNRhl" w:id="38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00872bd5" w:id="39"/>
    <w:p>
      <w:pPr>
        <w:spacing w:after="50" w:line="360" w:lineRule="auto" w:beforeLines="100"/>
        <w:ind w:left="0"/>
        <w:jc w:val="left"/>
      </w:pPr>
      <w:bookmarkStart w:name="J96Mf" w:id="40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  <w:bookmarkStart w:name="FqXNE" w:id="41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39"/>
    <w:bookmarkStart w:name="uf65c4dbd" w:id="42"/>
    <w:p>
      <w:pPr>
        <w:spacing w:after="50" w:line="360" w:lineRule="auto" w:beforeLines="100"/>
        <w:ind w:left="0"/>
        <w:jc w:val="left"/>
      </w:pPr>
      <w:bookmarkStart w:name="yb22h" w:id="43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51747f67" w:id="44"/>
    <w:p>
      <w:pPr>
        <w:spacing w:after="50" w:line="360" w:lineRule="auto" w:beforeLines="100"/>
        <w:ind w:left="0"/>
        <w:jc w:val="left"/>
      </w:pPr>
      <w:bookmarkStart w:name="uce781657" w:id="45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  <w:bookmarkStart w:name="ub14c54f4" w:id="46"/>
      <w:r>
        <w:rPr>
          <w:rFonts w:eastAsia="宋体" w:ascii="宋体"/>
        </w:rPr>
        <w:drawing>
          <wp:inline distT="0" distB="0" distL="0" distR="0">
            <wp:extent cx="5842000" cy="126769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692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  <w:bookmarkStart w:name="ub2c204cb" w:id="47"/>
      <w:r>
        <w:rPr>
          <w:rFonts w:eastAsia="宋体" w:ascii="宋体"/>
        </w:rPr>
        <w:drawing>
          <wp:inline distT="0" distB="0" distL="0" distR="0">
            <wp:extent cx="5842000" cy="12968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275866" cy="69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  <w:bookmarkStart w:name="u72fcd0a1" w:id="48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  <w:bookmarkStart w:name="u499ccbdd" w:id="49"/>
      <w:r>
        <w:rPr>
          <w:rFonts w:eastAsia="宋体" w:ascii="宋体"/>
        </w:rPr>
        <w:drawing>
          <wp:inline distT="0" distB="0" distL="0" distR="0">
            <wp:extent cx="5841999" cy="129689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343600" cy="695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  <w:bookmarkStart w:name="ued898676" w:id="50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