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image/png" PartName="/word/media/document_image_rId17.png"/>
  <Override ContentType="image/png" PartName="/word/media/document_image_rId18.png"/>
  <Override ContentType="image/png" PartName="/word/media/document_image_rId19.png"/>
  <Override ContentType="image/png" PartName="/word/media/document_image_rId20.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【轨物方案】告别人工运维痛点！光伏清洁检测一体化机器人，开启电站智能运维新时代</w:t>
      </w:r>
    </w:p>
    <w:bookmarkEnd w:id="0"/>
    <w:bookmarkStart w:name="u8963e232" w:id="1"/>
    <w:p>
      <w:pPr>
        <w:spacing w:after="50" w:line="360" w:lineRule="auto" w:beforeLines="100"/>
        <w:ind w:left="0"/>
        <w:jc w:val="left"/>
      </w:pPr>
      <w:bookmarkStart w:name="Oy6UA" w:id="2"/>
      <w:r>
        <w:rPr>
          <w:rFonts w:eastAsia="宋体" w:ascii="宋体"/>
        </w:rPr>
        <w:drawing>
          <wp:inline distT="0" distB="0" distL="0" distR="0">
            <wp:extent cx="5841999" cy="37972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72134" cy="641680"/>
                    </a:xfrm>
                    <a:prstGeom prst="rect">
                      <a:avLst/>
                    </a:prstGeom>
                  </pic:spPr>
                </pic:pic>
              </a:graphicData>
            </a:graphic>
          </wp:inline>
        </w:drawing>
      </w:r>
      <w:bookmarkEnd w:id="2"/>
    </w:p>
    <w:bookmarkEnd w:id="1"/>
    <w:bookmarkStart w:name="u6f93d10f" w:id="3"/>
    <w:p>
      <w:pPr>
        <w:spacing w:after="50" w:line="360" w:lineRule="auto" w:beforeLines="100"/>
        <w:ind w:left="0"/>
        <w:jc w:val="left"/>
      </w:pPr>
      <w:r>
        <w:rPr>
          <w:rFonts w:ascii="宋体" w:hAnsi="Times New Roman" w:eastAsia="宋体"/>
          <w:b w:val="false"/>
          <w:i w:val="false"/>
          <w:color w:val="000000"/>
          <w:sz w:val="22"/>
        </w:rPr>
        <w:t>双碳战略深耕之下，我国光伏产业迎来爆发式增长，全国光伏累计装机容量已突破900吉瓦，稳居全球第一。高速扩张的光伏版图背后，</w:t>
      </w:r>
      <w:r>
        <w:rPr>
          <w:rFonts w:ascii="宋体" w:hAnsi="Times New Roman" w:eastAsia="宋体"/>
          <w:b/>
          <w:i w:val="false"/>
          <w:color w:val="004347"/>
          <w:sz w:val="22"/>
        </w:rPr>
        <w:t>运维短板</w:t>
      </w:r>
      <w:r>
        <w:rPr>
          <w:rFonts w:ascii="宋体" w:hAnsi="Times New Roman" w:eastAsia="宋体"/>
          <w:b w:val="false"/>
          <w:i w:val="false"/>
          <w:color w:val="000000"/>
          <w:sz w:val="22"/>
        </w:rPr>
        <w:t>却成为制约电站收益的核心瓶颈。</w:t>
      </w:r>
    </w:p>
    <w:bookmarkEnd w:id="3"/>
    <w:bookmarkStart w:name="ufdfef1b2" w:id="4"/>
    <w:p>
      <w:pPr>
        <w:spacing w:after="50" w:line="360" w:lineRule="auto" w:beforeLines="100"/>
        <w:ind w:left="0"/>
        <w:jc w:val="left"/>
      </w:pPr>
      <w:r>
        <w:rPr>
          <w:rFonts w:ascii="宋体" w:hAnsi="Times New Roman" w:eastAsia="宋体"/>
          <w:b w:val="false"/>
          <w:i w:val="false"/>
          <w:color w:val="000000"/>
          <w:sz w:val="22"/>
        </w:rPr>
        <w:t>相信不少光伏运维从业者都深有体会：组件积灰、鸟粪、油污常年困扰发电，污染可直接造成10%-30%的发电效率损耗；人工高空清洁风险高、效率低、成本昂贵，设备隐性故障发现滞后，小问题拖成大损耗，传统人力运维模式早已跟不上光伏产业智能化发展的步伐。</w:t>
      </w:r>
    </w:p>
    <w:bookmarkEnd w:id="4"/>
    <w:bookmarkStart w:name="u7cabd18b" w:id="5"/>
    <w:p>
      <w:pPr>
        <w:spacing w:after="50" w:line="360" w:lineRule="auto" w:beforeLines="100"/>
        <w:ind w:left="0"/>
        <w:jc w:val="left"/>
      </w:pPr>
      <w:bookmarkStart w:name="u46239290" w:id="6"/>
      <w:r>
        <w:rPr>
          <w:rFonts w:eastAsia="宋体" w:ascii="宋体"/>
        </w:rPr>
        <w:drawing>
          <wp:inline distT="0" distB="0" distL="0" distR="0">
            <wp:extent cx="5841999" cy="265808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650400" cy="21680750"/>
                    </a:xfrm>
                    <a:prstGeom prst="rect">
                      <a:avLst/>
                    </a:prstGeom>
                  </pic:spPr>
                </pic:pic>
              </a:graphicData>
            </a:graphic>
          </wp:inline>
        </w:drawing>
      </w:r>
      <w:bookmarkEnd w:id="6"/>
    </w:p>
    <w:bookmarkEnd w:id="5"/>
    <w:bookmarkStart w:name="u161bdace" w:id="7"/>
    <w:p>
      <w:pPr>
        <w:spacing w:after="50" w:line="360" w:lineRule="auto" w:beforeLines="100"/>
        <w:ind w:left="0"/>
        <w:jc w:val="left"/>
      </w:pPr>
      <w:r>
        <w:rPr>
          <w:rFonts w:ascii="宋体" w:hAnsi="Times New Roman" w:eastAsia="宋体"/>
          <w:b w:val="false"/>
          <w:i w:val="false"/>
          <w:color w:val="000000"/>
          <w:sz w:val="22"/>
        </w:rPr>
        <w:t>在此背景下，</w:t>
      </w:r>
      <w:r>
        <w:rPr>
          <w:rFonts w:ascii="宋体" w:hAnsi="Times New Roman" w:eastAsia="宋体"/>
          <w:b/>
          <w:i w:val="false"/>
          <w:color w:val="004347"/>
          <w:sz w:val="22"/>
        </w:rPr>
        <w:t>光伏清洁·检测一体化机器人解决方案</w:t>
      </w:r>
      <w:r>
        <w:rPr>
          <w:rFonts w:ascii="宋体" w:hAnsi="Times New Roman" w:eastAsia="宋体"/>
          <w:b w:val="false"/>
          <w:i w:val="false"/>
          <w:color w:val="000000"/>
          <w:sz w:val="22"/>
        </w:rPr>
        <w:t>应运而生，打破传统运维壁垒，融合智能清洁、多维检测、AI分析、数字孪生技术，打造全流程闭环智能运维体系，重新定义光伏电站运维新标准。</w:t>
      </w:r>
    </w:p>
    <w:bookmarkEnd w:id="7"/>
    <w:bookmarkStart w:name="768d9387" w:id="8"/>
    <w:p>
      <w:pPr>
        <w:pStyle w:val="Heading2"/>
        <w:spacing w:after="50" w:line="360" w:lineRule="auto" w:beforeLines="100"/>
        <w:ind w:left="0"/>
        <w:jc w:val="left"/>
      </w:pPr>
      <w:bookmarkStart w:name="ubd728856" w:id="9"/>
      <w:r>
        <w:rPr>
          <w:rFonts w:eastAsia="宋体" w:ascii="宋体"/>
        </w:rPr>
        <w:drawing>
          <wp:inline distT="0" distB="0" distL="0" distR="0">
            <wp:extent cx="5842000" cy="91131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89334" cy="1215084"/>
                    </a:xfrm>
                    <a:prstGeom prst="rect">
                      <a:avLst/>
                    </a:prstGeom>
                  </pic:spPr>
                </pic:pic>
              </a:graphicData>
            </a:graphic>
          </wp:inline>
        </w:drawing>
      </w:r>
      <w:bookmarkEnd w:id="9"/>
    </w:p>
    <w:bookmarkEnd w:id="8"/>
    <w:bookmarkStart w:name="u8cd297d5" w:id="10"/>
    <w:p>
      <w:pPr>
        <w:spacing w:after="50" w:line="360" w:lineRule="auto" w:beforeLines="100"/>
        <w:ind w:left="0"/>
        <w:jc w:val="left"/>
      </w:pPr>
      <w:r>
        <w:rPr>
          <w:rFonts w:ascii="宋体" w:hAnsi="Times New Roman" w:eastAsia="宋体"/>
          <w:b w:val="false"/>
          <w:i w:val="false"/>
          <w:color w:val="000000"/>
          <w:sz w:val="22"/>
        </w:rPr>
        <w:t>传统光伏电站运维高度依赖人工落地执行，固有运营短板突出，无法适配规模化、智能化电站运营需求，直接制约电站发电效能释放与作业安全管控。</w:t>
      </w:r>
    </w:p>
    <w:bookmarkEnd w:id="10"/>
    <w:bookmarkStart w:name="u230cbd3d" w:id="11"/>
    <w:p>
      <w:pPr>
        <w:spacing w:after="50" w:line="360" w:lineRule="auto" w:beforeLines="100"/>
        <w:ind w:left="0"/>
        <w:jc w:val="left"/>
      </w:pPr>
      <w:r>
        <w:rPr>
          <w:rFonts w:ascii="宋体" w:hAnsi="Times New Roman" w:eastAsia="宋体"/>
          <w:b w:val="false"/>
          <w:i w:val="false"/>
          <w:color w:val="000000"/>
          <w:sz w:val="22"/>
        </w:rPr>
        <w:t>人工运维模式存在清洁作业局限性，受气象条件、人力配置、作业时长多重约束，难以形成标准化、常态化的组件保洁体系，组件表面积灰反复堆积，持续削弱光电转换效率。同时人工清扫作业力度不均、操作规范性不足，易划伤组件表层镀膜，造成设备不可逆的物理损伤。在故障排查层面，传统人工巡检仅能识别</w:t>
      </w:r>
      <w:r>
        <w:rPr>
          <w:rFonts w:ascii="宋体" w:hAnsi="Times New Roman" w:eastAsia="宋体"/>
          <w:b/>
          <w:i w:val="false"/>
          <w:color w:val="004347"/>
          <w:sz w:val="22"/>
        </w:rPr>
        <w:t>组件破损、支架脱落</w:t>
      </w:r>
      <w:r>
        <w:rPr>
          <w:rFonts w:ascii="宋体" w:hAnsi="Times New Roman" w:eastAsia="宋体"/>
          <w:b w:val="false"/>
          <w:i w:val="false"/>
          <w:color w:val="000000"/>
          <w:sz w:val="22"/>
        </w:rPr>
        <w:t>等显性故障，对于热斑、电池片隐裂、焊点虚焊、PID衰减等深层次隐性缺陷识别能力缺失，故障长期累积会加速组件老化衰减，严重时将引发组件过热、起火等安全事故，为电站运营埋下重大隐患。</w:t>
      </w:r>
    </w:p>
    <w:bookmarkEnd w:id="11"/>
    <w:bookmarkStart w:name="uc4d4a9f6" w:id="12"/>
    <w:p>
      <w:pPr>
        <w:spacing w:after="50" w:line="360" w:lineRule="auto" w:beforeLines="100"/>
        <w:ind w:left="0"/>
        <w:jc w:val="left"/>
      </w:pPr>
      <w:bookmarkStart w:name="u229b0cb7" w:id="13"/>
      <w:r>
        <w:rPr>
          <w:rFonts w:eastAsia="宋体" w:ascii="宋体"/>
        </w:rPr>
        <w:drawing>
          <wp:inline distT="0" distB="0" distL="0" distR="0">
            <wp:extent cx="5841999" cy="226084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828268" cy="21992436"/>
                    </a:xfrm>
                    <a:prstGeom prst="rect">
                      <a:avLst/>
                    </a:prstGeom>
                  </pic:spPr>
                </pic:pic>
              </a:graphicData>
            </a:graphic>
          </wp:inline>
        </w:drawing>
      </w:r>
      <w:bookmarkEnd w:id="13"/>
    </w:p>
    <w:bookmarkEnd w:id="12"/>
    <w:bookmarkStart w:name="uece9e0ae" w:id="14"/>
    <w:p>
      <w:pPr>
        <w:spacing w:after="50" w:line="360" w:lineRule="auto" w:beforeLines="100"/>
        <w:ind w:left="0"/>
        <w:jc w:val="left"/>
      </w:pPr>
      <w:r>
        <w:rPr>
          <w:rFonts w:ascii="宋体" w:hAnsi="Times New Roman" w:eastAsia="宋体"/>
          <w:b w:val="false"/>
          <w:i w:val="false"/>
          <w:color w:val="000000"/>
          <w:sz w:val="22"/>
        </w:rPr>
        <w:t>光伏电站多布局于野外、山地、水面等复杂场景，作业区域跨度大、工况环境复杂，人工高空、野外作业风险系数极高，安全事故发生率居高不下。同时，传统运维需配置大量巡检、清洁、维保人员，人力薪酬、现场管理、差旅运维等综合成本逐年递增，运维投入与电站产出配比失衡，整体运营经济性持续走低。</w:t>
      </w:r>
    </w:p>
    <w:bookmarkEnd w:id="14"/>
    <w:bookmarkStart w:name="ua3cca6e8" w:id="15"/>
    <w:p>
      <w:pPr>
        <w:spacing w:after="50" w:line="360" w:lineRule="auto" w:beforeLines="100"/>
        <w:ind w:left="0"/>
        <w:jc w:val="left"/>
      </w:pPr>
      <w:r>
        <w:rPr>
          <w:rFonts w:ascii="宋体" w:hAnsi="Times New Roman" w:eastAsia="宋体"/>
          <w:b w:val="false"/>
          <w:i w:val="false"/>
          <w:color w:val="000000"/>
          <w:sz w:val="22"/>
        </w:rPr>
        <w:t>光伏清洁检测一体化机器人精准对标行业运维痛点，彻底颠覆传统人力运维模式，构建</w:t>
      </w:r>
      <w:r>
        <w:rPr>
          <w:rFonts w:ascii="宋体" w:hAnsi="Times New Roman" w:eastAsia="宋体"/>
          <w:b/>
          <w:i w:val="false"/>
          <w:color w:val="004347"/>
          <w:sz w:val="22"/>
        </w:rPr>
        <w:t>无人化自主清洁、智能化全域检测、精细化闭环运维</w:t>
      </w:r>
      <w:r>
        <w:rPr>
          <w:rFonts w:ascii="宋体" w:hAnsi="Times New Roman" w:eastAsia="宋体"/>
          <w:b w:val="false"/>
          <w:i w:val="false"/>
          <w:color w:val="000000"/>
          <w:sz w:val="22"/>
        </w:rPr>
        <w:t>的新型电站运营体系，实现光伏运维的标准化、高效化、智能化升级。</w:t>
      </w:r>
    </w:p>
    <w:bookmarkEnd w:id="15"/>
    <w:bookmarkStart w:name="bc9f53ed" w:id="16"/>
    <w:p>
      <w:pPr>
        <w:pStyle w:val="Heading2"/>
        <w:spacing w:after="50" w:line="360" w:lineRule="auto" w:beforeLines="100"/>
        <w:ind w:left="0"/>
        <w:jc w:val="left"/>
      </w:pPr>
      <w:bookmarkStart w:name="u55a11c67" w:id="17"/>
      <w:r>
        <w:rPr>
          <w:rFonts w:eastAsia="宋体" w:ascii="宋体"/>
        </w:rPr>
        <w:drawing>
          <wp:inline distT="0" distB="0" distL="0" distR="0">
            <wp:extent cx="5842000" cy="91131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89334" cy="1215084"/>
                    </a:xfrm>
                    <a:prstGeom prst="rect">
                      <a:avLst/>
                    </a:prstGeom>
                  </pic:spPr>
                </pic:pic>
              </a:graphicData>
            </a:graphic>
          </wp:inline>
        </w:drawing>
      </w:r>
      <w:bookmarkEnd w:id="17"/>
    </w:p>
    <w:bookmarkEnd w:id="16"/>
    <w:bookmarkStart w:name="u17086194" w:id="18"/>
    <w:p>
      <w:pPr>
        <w:spacing w:after="50" w:line="360" w:lineRule="auto" w:beforeLines="100"/>
        <w:ind w:left="0"/>
        <w:jc w:val="left"/>
      </w:pPr>
      <w:r>
        <w:rPr>
          <w:rFonts w:ascii="宋体" w:hAnsi="Times New Roman" w:eastAsia="宋体"/>
          <w:b w:val="false"/>
          <w:i w:val="false"/>
          <w:color w:val="000000"/>
          <w:sz w:val="22"/>
        </w:rPr>
        <w:t>不同于传统单一的清扫方式，该一体化机器人搭载</w:t>
      </w:r>
      <w:r>
        <w:rPr>
          <w:rFonts w:ascii="宋体" w:hAnsi="Times New Roman" w:eastAsia="宋体"/>
          <w:b/>
          <w:i w:val="false"/>
          <w:color w:val="004347"/>
          <w:sz w:val="22"/>
        </w:rPr>
        <w:t>无水干扫+有水湿洗</w:t>
      </w:r>
      <w:r>
        <w:rPr>
          <w:rFonts w:ascii="宋体" w:hAnsi="Times New Roman" w:eastAsia="宋体"/>
          <w:b w:val="false"/>
          <w:i w:val="false"/>
          <w:color w:val="000000"/>
          <w:sz w:val="22"/>
        </w:rPr>
        <w:t>双清洁模式，可根据组件污染程度、场景环境自动切换，适配全国各类光伏电站场景。</w:t>
      </w:r>
    </w:p>
    <w:bookmarkEnd w:id="18"/>
    <w:bookmarkStart w:name="u367a95c0" w:id="19"/>
    <w:p>
      <w:pPr>
        <w:spacing w:after="50" w:line="360" w:lineRule="auto" w:beforeLines="100"/>
        <w:ind w:left="0"/>
        <w:jc w:val="left"/>
      </w:pPr>
      <w:r>
        <w:rPr>
          <w:rFonts w:ascii="宋体" w:hAnsi="Times New Roman" w:eastAsia="宋体"/>
          <w:b w:val="false"/>
          <w:i w:val="false"/>
          <w:color w:val="000000"/>
          <w:sz w:val="22"/>
        </w:rPr>
        <w:t>针对干旱缺水地区、日常轻度积灰场景，系统启用</w:t>
      </w:r>
      <w:r>
        <w:rPr>
          <w:rFonts w:ascii="宋体" w:hAnsi="Times New Roman" w:eastAsia="宋体"/>
          <w:b/>
          <w:i w:val="false"/>
          <w:color w:val="004347"/>
          <w:sz w:val="22"/>
        </w:rPr>
        <w:t>无水干扫模式</w:t>
      </w:r>
      <w:r>
        <w:rPr>
          <w:rFonts w:ascii="宋体" w:hAnsi="Times New Roman" w:eastAsia="宋体"/>
          <w:b w:val="false"/>
          <w:i w:val="false"/>
          <w:color w:val="000000"/>
          <w:sz w:val="22"/>
        </w:rPr>
        <w:t>。采用螺旋形混合材质刷辊，刷丝兼顾柔软度与耐磨性，既能彻底清除浮灰、砂粒、落叶等松散污染物，又不会损伤组件镀膜。独特的螺旋推送结构搭配高压静电吸附技术，彻底解决清扫二次扬尘问题，清洁率高达99%。同时刷辊转速无级可调，配合智能压力反馈系统，自适应不同组件表面，实现精细化清扫。</w:t>
      </w:r>
    </w:p>
    <w:bookmarkEnd w:id="19"/>
    <w:bookmarkStart w:name="ubc2c46bd" w:id="20"/>
    <w:p>
      <w:pPr>
        <w:spacing w:after="50" w:line="360" w:lineRule="auto" w:beforeLines="100"/>
        <w:ind w:left="0"/>
        <w:jc w:val="left"/>
      </w:pPr>
      <w:bookmarkStart w:name="u06d7cb8e" w:id="21"/>
      <w:r>
        <w:rPr>
          <w:rFonts w:eastAsia="宋体" w:ascii="宋体"/>
        </w:rPr>
        <w:drawing>
          <wp:inline distT="0" distB="0" distL="0" distR="0">
            <wp:extent cx="5841999" cy="226084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480132" cy="18761760"/>
                    </a:xfrm>
                    <a:prstGeom prst="rect">
                      <a:avLst/>
                    </a:prstGeom>
                  </pic:spPr>
                </pic:pic>
              </a:graphicData>
            </a:graphic>
          </wp:inline>
        </w:drawing>
      </w:r>
      <w:bookmarkEnd w:id="21"/>
    </w:p>
    <w:bookmarkEnd w:id="20"/>
    <w:bookmarkStart w:name="ubc1be150" w:id="22"/>
    <w:p>
      <w:pPr>
        <w:spacing w:after="50" w:line="360" w:lineRule="auto" w:beforeLines="100"/>
        <w:ind w:left="0"/>
        <w:jc w:val="left"/>
      </w:pPr>
      <w:r>
        <w:rPr>
          <w:rFonts w:ascii="宋体" w:hAnsi="Times New Roman" w:eastAsia="宋体"/>
          <w:b w:val="false"/>
          <w:i w:val="false"/>
          <w:color w:val="000000"/>
          <w:sz w:val="22"/>
        </w:rPr>
        <w:t>针对鸟粪、油污、泥污结壳等重度顽固污染，</w:t>
      </w:r>
      <w:r>
        <w:rPr>
          <w:rFonts w:ascii="宋体" w:hAnsi="Times New Roman" w:eastAsia="宋体"/>
          <w:b/>
          <w:i w:val="false"/>
          <w:color w:val="004347"/>
          <w:sz w:val="22"/>
        </w:rPr>
        <w:t>有水湿洗模式</w:t>
      </w:r>
      <w:r>
        <w:rPr>
          <w:rFonts w:ascii="宋体" w:hAnsi="Times New Roman" w:eastAsia="宋体"/>
          <w:b w:val="false"/>
          <w:i w:val="false"/>
          <w:color w:val="000000"/>
          <w:sz w:val="22"/>
        </w:rPr>
        <w:t>深度发力。系统通过智能喷淋预处理、双向螺旋刷洗、高压定点冲洗三步协同作业，搭配中性环保无腐蚀清洁剂，可彻底剥离各类顽固污渍。同时配备防冻管路、水源过滤、污水回收循环系统，兼顾清洁效果、设备安全与环保需求，完美适配渔光互补、农光互补、山地电站等特殊场景。</w:t>
      </w:r>
    </w:p>
    <w:bookmarkEnd w:id="22"/>
    <w:bookmarkStart w:name="ucd0f5885" w:id="23"/>
    <w:p>
      <w:pPr>
        <w:spacing w:after="50" w:line="360" w:lineRule="auto" w:beforeLines="100"/>
        <w:ind w:left="0"/>
        <w:jc w:val="left"/>
      </w:pPr>
      <w:r>
        <w:rPr>
          <w:rFonts w:ascii="宋体" w:hAnsi="Times New Roman" w:eastAsia="宋体"/>
          <w:b w:val="false"/>
          <w:i w:val="false"/>
          <w:color w:val="000000"/>
          <w:sz w:val="22"/>
        </w:rPr>
        <w:t>更核心的是，系统摒弃定时盲扫模式，依托多维数据智能调度，结合污染指数、发电效率、气象预报、经济成本模型，自动生成最优清洁计划，杜绝无效清洁，实现清洁效益最大化。</w:t>
      </w:r>
    </w:p>
    <w:bookmarkEnd w:id="23"/>
    <w:bookmarkStart w:name="80a7f025" w:id="24"/>
    <w:p>
      <w:pPr>
        <w:pStyle w:val="Heading2"/>
        <w:spacing w:after="50" w:line="360" w:lineRule="auto" w:beforeLines="100"/>
        <w:ind w:left="0"/>
        <w:jc w:val="left"/>
      </w:pPr>
      <w:bookmarkStart w:name="u9c9459da" w:id="25"/>
      <w:r>
        <w:rPr>
          <w:rFonts w:eastAsia="宋体" w:ascii="宋体"/>
        </w:rPr>
        <w:drawing>
          <wp:inline distT="0" distB="0" distL="0" distR="0">
            <wp:extent cx="5842000" cy="91131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89334" cy="1215084"/>
                    </a:xfrm>
                    <a:prstGeom prst="rect">
                      <a:avLst/>
                    </a:prstGeom>
                  </pic:spPr>
                </pic:pic>
              </a:graphicData>
            </a:graphic>
          </wp:inline>
        </w:drawing>
      </w:r>
      <w:bookmarkEnd w:id="25"/>
    </w:p>
    <w:bookmarkEnd w:id="24"/>
    <w:bookmarkStart w:name="u271695c6" w:id="26"/>
    <w:p>
      <w:pPr>
        <w:spacing w:after="50" w:line="360" w:lineRule="auto" w:beforeLines="100"/>
        <w:ind w:left="0"/>
        <w:jc w:val="left"/>
      </w:pPr>
      <w:r>
        <w:rPr>
          <w:rFonts w:ascii="宋体" w:hAnsi="Times New Roman" w:eastAsia="宋体"/>
          <w:b w:val="false"/>
          <w:i w:val="false"/>
          <w:color w:val="000000"/>
          <w:sz w:val="22"/>
        </w:rPr>
        <w:t>清洁与检测深度融合，是这套方案的核心亮点。系统集成</w:t>
      </w:r>
      <w:r>
        <w:rPr>
          <w:rFonts w:ascii="宋体" w:hAnsi="Times New Roman" w:eastAsia="宋体"/>
          <w:b/>
          <w:i w:val="false"/>
          <w:color w:val="004347"/>
          <w:sz w:val="22"/>
        </w:rPr>
        <w:t>热红外成像、EL电致发光、可见光成像</w:t>
      </w:r>
      <w:r>
        <w:rPr>
          <w:rFonts w:ascii="宋体" w:hAnsi="Times New Roman" w:eastAsia="宋体"/>
          <w:b w:val="false"/>
          <w:i w:val="false"/>
          <w:color w:val="000000"/>
          <w:sz w:val="22"/>
        </w:rPr>
        <w:t>三大检测技术，构建“表面+内部、温度+结构”的全方位故障检测体系，让所有设备故障无处遁形。</w:t>
      </w:r>
    </w:p>
    <w:bookmarkEnd w:id="26"/>
    <w:bookmarkStart w:name="u116124f1" w:id="27"/>
    <w:p>
      <w:pPr>
        <w:spacing w:after="50" w:line="360" w:lineRule="auto" w:beforeLines="100"/>
        <w:ind w:left="0"/>
        <w:jc w:val="left"/>
      </w:pPr>
      <w:r>
        <w:rPr>
          <w:rFonts w:ascii="宋体" w:hAnsi="Times New Roman" w:eastAsia="宋体"/>
          <w:b w:val="false"/>
          <w:i w:val="false"/>
          <w:color w:val="000000"/>
          <w:sz w:val="22"/>
        </w:rPr>
        <w:t>热红外成像检测主打</w:t>
      </w:r>
      <w:r>
        <w:rPr>
          <w:rFonts w:ascii="宋体" w:hAnsi="Times New Roman" w:eastAsia="宋体"/>
          <w:b/>
          <w:i w:val="false"/>
          <w:color w:val="004347"/>
          <w:sz w:val="22"/>
        </w:rPr>
        <w:t>运行状态隐性故障排查</w:t>
      </w:r>
      <w:r>
        <w:rPr>
          <w:rFonts w:ascii="宋体" w:hAnsi="Times New Roman" w:eastAsia="宋体"/>
          <w:b w:val="false"/>
          <w:i w:val="false"/>
          <w:color w:val="000000"/>
          <w:sz w:val="22"/>
        </w:rPr>
        <w:t>。通过高灵敏度红外模块捕捉组件微小温差，精准识别热斑、二极管失效、局部散热异常等问题，检测精度超90%，可快速完成整站大面积巡检，效率远超人工。</w:t>
      </w:r>
    </w:p>
    <w:bookmarkEnd w:id="27"/>
    <w:bookmarkStart w:name="uf99707b8" w:id="28"/>
    <w:p>
      <w:pPr>
        <w:spacing w:after="50" w:line="360" w:lineRule="auto" w:beforeLines="100"/>
        <w:ind w:left="0"/>
        <w:jc w:val="left"/>
      </w:pPr>
      <w:bookmarkStart w:name="udd76cba4" w:id="29"/>
      <w:r>
        <w:rPr>
          <w:rFonts w:eastAsia="宋体" w:ascii="宋体"/>
        </w:rPr>
        <w:drawing>
          <wp:inline distT="0" distB="0" distL="0" distR="0">
            <wp:extent cx="5841999" cy="44223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496132" cy="37468472"/>
                    </a:xfrm>
                    <a:prstGeom prst="rect">
                      <a:avLst/>
                    </a:prstGeom>
                  </pic:spPr>
                </pic:pic>
              </a:graphicData>
            </a:graphic>
          </wp:inline>
        </w:drawing>
      </w:r>
      <w:bookmarkEnd w:id="29"/>
    </w:p>
    <w:bookmarkEnd w:id="28"/>
    <w:bookmarkStart w:name="u2722965c" w:id="30"/>
    <w:p>
      <w:pPr>
        <w:spacing w:after="50" w:line="360" w:lineRule="auto" w:beforeLines="100"/>
        <w:ind w:left="0"/>
        <w:jc w:val="left"/>
      </w:pPr>
      <w:r>
        <w:rPr>
          <w:rFonts w:ascii="宋体" w:hAnsi="Times New Roman" w:eastAsia="宋体"/>
          <w:b w:val="false"/>
          <w:i w:val="false"/>
          <w:color w:val="000000"/>
          <w:sz w:val="22"/>
        </w:rPr>
        <w:t>EL电致发光检测作为</w:t>
      </w:r>
      <w:r>
        <w:rPr>
          <w:rFonts w:ascii="宋体" w:hAnsi="Times New Roman" w:eastAsia="宋体"/>
          <w:b/>
          <w:i w:val="false"/>
          <w:color w:val="004347"/>
          <w:sz w:val="22"/>
        </w:rPr>
        <w:t>精细化内部诊断利器</w:t>
      </w:r>
      <w:r>
        <w:rPr>
          <w:rFonts w:ascii="宋体" w:hAnsi="Times New Roman" w:eastAsia="宋体"/>
          <w:b w:val="false"/>
          <w:i w:val="false"/>
          <w:color w:val="000000"/>
          <w:sz w:val="22"/>
        </w:rPr>
        <w:t>，通过专属通电成像技术，透视组件内部结构，精准检测肉眼无法识别的隐裂、断栅、虚焊、PID效应等核心缺陷，毫米级检测精度，为组件深度检修提供精准依据。</w:t>
      </w:r>
    </w:p>
    <w:bookmarkEnd w:id="30"/>
    <w:bookmarkStart w:name="u8d7fd916" w:id="31"/>
    <w:p>
      <w:pPr>
        <w:spacing w:after="50" w:line="360" w:lineRule="auto" w:beforeLines="100"/>
        <w:ind w:left="0"/>
        <w:jc w:val="left"/>
      </w:pPr>
      <w:r>
        <w:rPr>
          <w:rFonts w:ascii="宋体" w:hAnsi="Times New Roman" w:eastAsia="宋体"/>
          <w:b w:val="false"/>
          <w:i w:val="false"/>
          <w:color w:val="000000"/>
          <w:sz w:val="22"/>
        </w:rPr>
        <w:t>可见光成像则补齐</w:t>
      </w:r>
      <w:r>
        <w:rPr>
          <w:rFonts w:ascii="宋体" w:hAnsi="Times New Roman" w:eastAsia="宋体"/>
          <w:b/>
          <w:i w:val="false"/>
          <w:color w:val="004347"/>
          <w:sz w:val="22"/>
        </w:rPr>
        <w:t>表面运维盲区</w:t>
      </w:r>
      <w:r>
        <w:rPr>
          <w:rFonts w:ascii="宋体" w:hAnsi="Times New Roman" w:eastAsia="宋体"/>
          <w:b w:val="false"/>
          <w:i w:val="false"/>
          <w:color w:val="000000"/>
          <w:sz w:val="22"/>
        </w:rPr>
        <w:t>，通过2000万像素高清镜头，清晰识别组件玻璃破损、背板划伤、支架锈蚀、植被遮挡等表面问题，三者互为补充，实现光伏组件全维度状态监测。</w:t>
      </w:r>
    </w:p>
    <w:bookmarkEnd w:id="31"/>
    <w:bookmarkStart w:name="6aa8fbd5" w:id="32"/>
    <w:p>
      <w:pPr>
        <w:pStyle w:val="Heading2"/>
        <w:spacing w:after="50" w:line="360" w:lineRule="auto" w:beforeLines="100"/>
        <w:ind w:left="0"/>
        <w:jc w:val="left"/>
      </w:pPr>
      <w:bookmarkStart w:name="ucddc6b88" w:id="33"/>
      <w:r>
        <w:rPr>
          <w:rFonts w:eastAsia="宋体" w:ascii="宋体"/>
        </w:rPr>
        <w:drawing>
          <wp:inline distT="0" distB="0" distL="0" distR="0">
            <wp:extent cx="5842000" cy="91131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89334" cy="1215084"/>
                    </a:xfrm>
                    <a:prstGeom prst="rect">
                      <a:avLst/>
                    </a:prstGeom>
                  </pic:spPr>
                </pic:pic>
              </a:graphicData>
            </a:graphic>
          </wp:inline>
        </w:drawing>
      </w:r>
      <w:bookmarkEnd w:id="33"/>
    </w:p>
    <w:bookmarkEnd w:id="32"/>
    <w:bookmarkStart w:name="uc0e808b6" w:id="34"/>
    <w:p>
      <w:pPr>
        <w:spacing w:after="50" w:line="360" w:lineRule="auto" w:beforeLines="100"/>
        <w:ind w:left="0"/>
        <w:jc w:val="left"/>
      </w:pPr>
      <w:r>
        <w:rPr>
          <w:rFonts w:ascii="宋体" w:hAnsi="Times New Roman" w:eastAsia="宋体"/>
          <w:b w:val="false"/>
          <w:i w:val="false"/>
          <w:color w:val="000000"/>
          <w:sz w:val="22"/>
        </w:rPr>
        <w:t>硬件设备的智能化，离不开软件系统的赋能。方案依托</w:t>
      </w:r>
      <w:r>
        <w:rPr>
          <w:rFonts w:ascii="宋体" w:hAnsi="Times New Roman" w:eastAsia="宋体"/>
          <w:b/>
          <w:i w:val="false"/>
          <w:color w:val="004347"/>
          <w:sz w:val="22"/>
        </w:rPr>
        <w:t>AI深度学习算法+数字孪生技术+端边云协同架构</w:t>
      </w:r>
      <w:r>
        <w:rPr>
          <w:rFonts w:ascii="宋体" w:hAnsi="Times New Roman" w:eastAsia="宋体"/>
          <w:b w:val="false"/>
          <w:i w:val="false"/>
          <w:color w:val="000000"/>
          <w:sz w:val="22"/>
        </w:rPr>
        <w:t>，实现从“被动运维”到“预测性维护”的跨越式升级。</w:t>
      </w:r>
    </w:p>
    <w:bookmarkEnd w:id="34"/>
    <w:bookmarkStart w:name="u4a541f0a" w:id="35"/>
    <w:p>
      <w:pPr>
        <w:spacing w:after="50" w:line="360" w:lineRule="auto" w:beforeLines="100"/>
        <w:ind w:left="0"/>
        <w:jc w:val="left"/>
      </w:pPr>
      <w:r>
        <w:rPr>
          <w:rFonts w:ascii="宋体" w:hAnsi="Times New Roman" w:eastAsia="宋体"/>
          <w:b w:val="false"/>
          <w:i w:val="false"/>
          <w:color w:val="000000"/>
          <w:sz w:val="22"/>
        </w:rPr>
        <w:t>在AI数据分析层面，系统搭载卷积神经网络、长短期记忆网络等前沿算法，通过数十万张缺陷样本训练，故障识别准确率达97%以上。可实时分析设备运行时序数据、图像数据，自动完成故障检测、分类、精准定位，同时搭建设备健康度模型，精准预测组件剩余使用寿命，提前生成维护方案，规避突发故障停机损失。</w:t>
      </w:r>
    </w:p>
    <w:bookmarkEnd w:id="35"/>
    <w:bookmarkStart w:name="u4b5d473f" w:id="36"/>
    <w:p>
      <w:pPr>
        <w:spacing w:after="50" w:line="360" w:lineRule="auto" w:beforeLines="100"/>
        <w:ind w:left="0"/>
        <w:jc w:val="left"/>
      </w:pPr>
      <w:bookmarkStart w:name="uf1fae33b" w:id="37"/>
      <w:r>
        <w:rPr>
          <w:rFonts w:eastAsia="宋体" w:ascii="宋体"/>
        </w:rPr>
        <w:drawing>
          <wp:inline distT="0" distB="0" distL="0" distR="0">
            <wp:extent cx="5842000" cy="391397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89334" cy="5218630"/>
                    </a:xfrm>
                    <a:prstGeom prst="rect">
                      <a:avLst/>
                    </a:prstGeom>
                  </pic:spPr>
                </pic:pic>
              </a:graphicData>
            </a:graphic>
          </wp:inline>
        </w:drawing>
      </w:r>
      <w:bookmarkEnd w:id="37"/>
    </w:p>
    <w:bookmarkEnd w:id="36"/>
    <w:bookmarkStart w:name="u74447afa" w:id="38"/>
    <w:p>
      <w:pPr>
        <w:spacing w:after="50" w:line="360" w:lineRule="auto" w:beforeLines="100"/>
        <w:ind w:left="0"/>
        <w:jc w:val="left"/>
      </w:pPr>
      <w:r>
        <w:rPr>
          <w:rFonts w:ascii="宋体" w:hAnsi="Times New Roman" w:eastAsia="宋体"/>
          <w:b w:val="false"/>
          <w:i w:val="false"/>
          <w:color w:val="000000"/>
          <w:sz w:val="22"/>
        </w:rPr>
        <w:t>在数字孪生层面，系统构建</w:t>
      </w:r>
      <w:r>
        <w:rPr>
          <w:rFonts w:ascii="宋体" w:hAnsi="Times New Roman" w:eastAsia="宋体"/>
          <w:b/>
          <w:i w:val="false"/>
          <w:color w:val="004347"/>
          <w:sz w:val="22"/>
        </w:rPr>
        <w:t>1:1厘米级精度虚拟电站模型</w:t>
      </w:r>
      <w:r>
        <w:rPr>
          <w:rFonts w:ascii="宋体" w:hAnsi="Times New Roman" w:eastAsia="宋体"/>
          <w:b w:val="false"/>
          <w:i w:val="false"/>
          <w:color w:val="000000"/>
          <w:sz w:val="22"/>
        </w:rPr>
        <w:t>，实时映射物理电站设备运行数据、状态参数。运维人员可通过三维可视化大屏，全景监控电站运行全局，直观查看每一块组件的实时状态，还可通过仿真推演，预判设备老化、工况变化对发电量的影响，为运维决策提供量化支撑。</w:t>
      </w:r>
    </w:p>
    <w:bookmarkEnd w:id="38"/>
    <w:bookmarkStart w:name="ub16f50ac" w:id="39"/>
    <w:p>
      <w:pPr>
        <w:spacing w:after="50" w:line="360" w:lineRule="auto" w:beforeLines="100"/>
        <w:ind w:left="0"/>
        <w:jc w:val="left"/>
      </w:pPr>
      <w:r>
        <w:rPr>
          <w:rFonts w:ascii="宋体" w:hAnsi="Times New Roman" w:eastAsia="宋体"/>
          <w:b w:val="false"/>
          <w:i w:val="false"/>
          <w:color w:val="000000"/>
          <w:sz w:val="22"/>
        </w:rPr>
        <w:t>同时，系统采用端边云三级协同架构，端侧完成基础作业与数据采集，边缘侧实现毫秒级路径规划、实时故障预判，云侧负责大数据分析与全局调度，弱网环境也可稳定运行，大幅降低通信压力，提升运维实时性与可靠性。</w:t>
      </w:r>
    </w:p>
    <w:bookmarkEnd w:id="39"/>
    <w:bookmarkStart w:name="efc05793" w:id="40"/>
    <w:p>
      <w:pPr>
        <w:pStyle w:val="Heading2"/>
        <w:spacing w:after="50" w:line="360" w:lineRule="auto" w:beforeLines="100"/>
        <w:ind w:left="0"/>
        <w:jc w:val="left"/>
      </w:pPr>
      <w:bookmarkStart w:name="u96aeaaa0" w:id="41"/>
      <w:r>
        <w:rPr>
          <w:rFonts w:eastAsia="宋体" w:ascii="宋体"/>
        </w:rPr>
        <w:drawing>
          <wp:inline distT="0" distB="0" distL="0" distR="0">
            <wp:extent cx="5842000" cy="91131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89334" cy="1215084"/>
                    </a:xfrm>
                    <a:prstGeom prst="rect">
                      <a:avLst/>
                    </a:prstGeom>
                  </pic:spPr>
                </pic:pic>
              </a:graphicData>
            </a:graphic>
          </wp:inline>
        </w:drawing>
      </w:r>
      <w:bookmarkEnd w:id="41"/>
    </w:p>
    <w:bookmarkEnd w:id="40"/>
    <w:bookmarkStart w:name="uad0fb7c0" w:id="42"/>
    <w:p>
      <w:pPr>
        <w:spacing w:after="50" w:line="360" w:lineRule="auto" w:beforeLines="100"/>
        <w:ind w:left="0"/>
        <w:jc w:val="left"/>
      </w:pPr>
      <w:r>
        <w:rPr>
          <w:rFonts w:ascii="宋体" w:hAnsi="Times New Roman" w:eastAsia="宋体"/>
          <w:b w:val="false"/>
          <w:i w:val="false"/>
          <w:color w:val="000000"/>
          <w:sz w:val="22"/>
        </w:rPr>
        <w:t>从实际落地效果来看，这套一体化运维解决方案，可为光伏电站带来</w:t>
      </w:r>
      <w:r>
        <w:rPr>
          <w:rFonts w:ascii="宋体" w:hAnsi="Times New Roman" w:eastAsia="宋体"/>
          <w:b/>
          <w:i w:val="false"/>
          <w:color w:val="004347"/>
          <w:sz w:val="22"/>
        </w:rPr>
        <w:t>效率、成本、安全、资产</w:t>
      </w:r>
      <w:r>
        <w:rPr>
          <w:rFonts w:ascii="宋体" w:hAnsi="Times New Roman" w:eastAsia="宋体"/>
          <w:b w:val="false"/>
          <w:i w:val="false"/>
          <w:color w:val="000000"/>
          <w:sz w:val="22"/>
        </w:rPr>
        <w:t>四重核心价值提升。</w:t>
      </w:r>
    </w:p>
    <w:bookmarkEnd w:id="42"/>
    <w:bookmarkStart w:name="u76b8c7b0" w:id="43"/>
    <w:p>
      <w:pPr>
        <w:spacing w:after="50" w:line="360" w:lineRule="auto" w:beforeLines="100"/>
        <w:ind w:left="0"/>
        <w:jc w:val="left"/>
      </w:pPr>
      <w:r>
        <w:rPr>
          <w:rFonts w:ascii="宋体" w:hAnsi="Times New Roman" w:eastAsia="宋体"/>
          <w:b w:val="false"/>
          <w:i w:val="false"/>
          <w:color w:val="000000"/>
          <w:sz w:val="22"/>
        </w:rPr>
        <w:t>发电效率显著提升。通过常态化精准清洁，组件透光率全面恢复，全国电站实测发电效率平均提升10%-15%，西北多风沙地区提升幅度可达15%-25%。以100兆瓦电站为例，每年可新增发电量超1000万度，增收数百万元，设备投资回收期仅2-3年。</w:t>
      </w:r>
    </w:p>
    <w:bookmarkEnd w:id="43"/>
    <w:bookmarkStart w:name="u72bf034b" w:id="44"/>
    <w:p>
      <w:pPr>
        <w:spacing w:after="50" w:line="360" w:lineRule="auto" w:beforeLines="100"/>
        <w:ind w:left="0"/>
        <w:jc w:val="left"/>
      </w:pPr>
      <w:bookmarkStart w:name="u3a38ac0a" w:id="45"/>
      <w:r>
        <w:rPr>
          <w:rFonts w:eastAsia="宋体" w:ascii="宋体"/>
        </w:rPr>
        <w:drawing>
          <wp:inline distT="0" distB="0" distL="0" distR="0">
            <wp:extent cx="5841999" cy="453923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514000" cy="37695378"/>
                    </a:xfrm>
                    <a:prstGeom prst="rect">
                      <a:avLst/>
                    </a:prstGeom>
                  </pic:spPr>
                </pic:pic>
              </a:graphicData>
            </a:graphic>
          </wp:inline>
        </w:drawing>
      </w:r>
      <w:bookmarkEnd w:id="45"/>
    </w:p>
    <w:bookmarkEnd w:id="44"/>
    <w:bookmarkStart w:name="udf70d3d8" w:id="46"/>
    <w:p>
      <w:pPr>
        <w:spacing w:after="50" w:line="360" w:lineRule="auto" w:beforeLines="100"/>
        <w:ind w:left="0"/>
        <w:jc w:val="left"/>
      </w:pPr>
      <w:r>
        <w:rPr>
          <w:rFonts w:ascii="宋体" w:hAnsi="Times New Roman" w:eastAsia="宋体"/>
          <w:b w:val="false"/>
          <w:i w:val="false"/>
          <w:color w:val="000000"/>
          <w:sz w:val="22"/>
        </w:rPr>
        <w:t>运维成本大幅降低。机器人实现7×24小时无人化作业，一人可管控多台设备，彻底替代大规模人工清扫、巡检团队，大幅削减人力成本。同时预测性维护减少设备突发故障与过度运维损耗，间接降低运维支出。</w:t>
      </w:r>
    </w:p>
    <w:bookmarkEnd w:id="46"/>
    <w:bookmarkStart w:name="u779c8a0d" w:id="47"/>
    <w:p>
      <w:pPr>
        <w:spacing w:after="50" w:line="360" w:lineRule="auto" w:beforeLines="100"/>
        <w:ind w:left="0"/>
        <w:jc w:val="left"/>
      </w:pPr>
      <w:r>
        <w:rPr>
          <w:rFonts w:ascii="宋体" w:hAnsi="Times New Roman" w:eastAsia="宋体"/>
          <w:b w:val="false"/>
          <w:i w:val="false"/>
          <w:color w:val="000000"/>
          <w:sz w:val="22"/>
        </w:rPr>
        <w:t>运维安全全面升级。全程机器替代人工高空、野外、恶劣环境作业，从根源上杜绝人工运维安全隐患，分钟级故障告警与远程管控，进一步降低人员现场作业频次。</w:t>
      </w:r>
    </w:p>
    <w:bookmarkEnd w:id="47"/>
    <w:bookmarkStart w:name="u09d696d0" w:id="48"/>
    <w:p>
      <w:pPr>
        <w:spacing w:after="50" w:line="360" w:lineRule="auto" w:beforeLines="100"/>
        <w:ind w:left="0"/>
        <w:jc w:val="left"/>
      </w:pPr>
      <w:r>
        <w:rPr>
          <w:rFonts w:ascii="宋体" w:hAnsi="Times New Roman" w:eastAsia="宋体"/>
          <w:b w:val="false"/>
          <w:i w:val="false"/>
          <w:color w:val="000000"/>
          <w:sz w:val="22"/>
        </w:rPr>
        <w:t>资产价值有效保障。全周期实时监测组件状态，提前预警老化、故障风险，避免小故障引发设备烧毁、火灾等重大事故，延长组件使用寿命，稳固电站长期投资收益。</w:t>
      </w:r>
    </w:p>
    <w:bookmarkEnd w:id="48"/>
    <w:bookmarkStart w:name="778a36ac" w:id="49"/>
    <w:p>
      <w:pPr>
        <w:pStyle w:val="Heading2"/>
        <w:spacing w:after="50" w:line="360" w:lineRule="auto" w:beforeLines="100"/>
        <w:ind w:left="0"/>
        <w:jc w:val="left"/>
      </w:pPr>
      <w:bookmarkStart w:name="u4d931380" w:id="50"/>
      <w:r>
        <w:rPr>
          <w:rFonts w:eastAsia="宋体" w:ascii="宋体"/>
        </w:rPr>
        <w:drawing>
          <wp:inline distT="0" distB="0" distL="0" distR="0">
            <wp:extent cx="5842000" cy="91131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89334" cy="1215084"/>
                    </a:xfrm>
                    <a:prstGeom prst="rect">
                      <a:avLst/>
                    </a:prstGeom>
                  </pic:spPr>
                </pic:pic>
              </a:graphicData>
            </a:graphic>
          </wp:inline>
        </w:drawing>
      </w:r>
      <w:bookmarkEnd w:id="50"/>
    </w:p>
    <w:bookmarkEnd w:id="49"/>
    <w:bookmarkStart w:name="u2fc0cf09" w:id="51"/>
    <w:p>
      <w:pPr>
        <w:spacing w:after="50" w:line="360" w:lineRule="auto" w:beforeLines="100"/>
        <w:ind w:left="0"/>
        <w:jc w:val="left"/>
      </w:pPr>
      <w:r>
        <w:rPr>
          <w:rFonts w:ascii="宋体" w:hAnsi="Times New Roman" w:eastAsia="宋体"/>
          <w:b w:val="false"/>
          <w:i w:val="false"/>
          <w:color w:val="000000"/>
          <w:sz w:val="22"/>
        </w:rPr>
        <w:t>当前光伏运维行业正处于从人力密集型向智能科技型转型的关键阶段，清洁检测一体化机器人方案，正是行业转型的核心载体。</w:t>
      </w:r>
    </w:p>
    <w:bookmarkEnd w:id="51"/>
    <w:bookmarkStart w:name="u5fe5b2c0" w:id="52"/>
    <w:p>
      <w:pPr>
        <w:spacing w:after="50" w:line="360" w:lineRule="auto" w:beforeLines="100"/>
        <w:ind w:left="0"/>
        <w:jc w:val="left"/>
      </w:pPr>
      <w:r>
        <w:rPr>
          <w:rFonts w:ascii="宋体" w:hAnsi="Times New Roman" w:eastAsia="宋体"/>
          <w:b w:val="false"/>
          <w:i w:val="false"/>
          <w:color w:val="000000"/>
          <w:sz w:val="22"/>
        </w:rPr>
        <w:t>未来，光伏运维设备将持续向</w:t>
      </w:r>
      <w:r>
        <w:rPr>
          <w:rFonts w:ascii="宋体" w:hAnsi="Times New Roman" w:eastAsia="宋体"/>
          <w:b/>
          <w:i w:val="false"/>
          <w:color w:val="004347"/>
          <w:sz w:val="22"/>
        </w:rPr>
        <w:t>清洁、检测、维修一体化</w:t>
      </w:r>
      <w:r>
        <w:rPr>
          <w:rFonts w:ascii="宋体" w:hAnsi="Times New Roman" w:eastAsia="宋体"/>
          <w:b w:val="false"/>
          <w:i w:val="false"/>
          <w:color w:val="000000"/>
          <w:sz w:val="22"/>
        </w:rPr>
        <w:t>升级，实现简单故障自主修复；多机器人群智协同作业模式将全面普及，大幅提升超大光伏基地运维效率；端侧AI能力持续强化，结合数字孪生深度虚实融合，形成更精准、更智能、更高效的全闭环运维体系。</w:t>
      </w:r>
    </w:p>
    <w:bookmarkEnd w:id="52"/>
    <w:bookmarkStart w:name="u4c3be5ce" w:id="53"/>
    <w:p>
      <w:pPr>
        <w:spacing w:after="50" w:line="360" w:lineRule="auto" w:beforeLines="100"/>
        <w:ind w:left="0"/>
        <w:jc w:val="left"/>
      </w:pPr>
      <w:r>
        <w:rPr>
          <w:rFonts w:ascii="宋体" w:hAnsi="Times New Roman" w:eastAsia="宋体"/>
          <w:b w:val="false"/>
          <w:i w:val="false"/>
          <w:color w:val="000000"/>
          <w:sz w:val="22"/>
        </w:rPr>
        <w:t>科技赋能光伏，智能重塑运维。这套一体化解决方案，以技术破解行业痛点，以效率创造核心价值，必将成为光伏电站提质增效、降本避险的核心标配，助力我国光伏产业高质量、可持续发展！</w:t>
      </w:r>
    </w:p>
    <w:bookmarkEnd w:id="53"/>
    <w:bookmarkStart w:name="u48c67d50" w:id="54"/>
    <w:p>
      <w:pPr>
        <w:spacing w:after="50" w:line="360" w:lineRule="auto" w:beforeLines="100"/>
        <w:ind w:left="0"/>
        <w:jc w:val="left"/>
      </w:pPr>
      <w:bookmarkStart w:name="h43Tc" w:id="55"/>
      <w:r>
        <w:rPr>
          <w:rFonts w:eastAsia="宋体" w:ascii="宋体"/>
        </w:rPr>
        <w:drawing>
          <wp:inline distT="0" distB="0" distL="0" distR="0">
            <wp:extent cx="5841999" cy="184604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872134" cy="3119552"/>
                    </a:xfrm>
                    <a:prstGeom prst="rect">
                      <a:avLst/>
                    </a:prstGeom>
                  </pic:spPr>
                </pic:pic>
              </a:graphicData>
            </a:graphic>
          </wp:inline>
        </w:drawing>
      </w:r>
      <w:bookmarkEnd w:id="55"/>
      <w:bookmarkStart w:name="HF6a8" w:id="56"/>
      <w:r>
        <w:rPr>
          <w:rFonts w:eastAsia="宋体" w:ascii="宋体"/>
        </w:rPr>
        <w:drawing>
          <wp:inline distT="0" distB="0" distL="0" distR="0">
            <wp:extent cx="5842000" cy="16181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89334" cy="2157553"/>
                    </a:xfrm>
                    <a:prstGeom prst="rect">
                      <a:avLst/>
                    </a:prstGeom>
                  </pic:spPr>
                </pic:pic>
              </a:graphicData>
            </a:graphic>
          </wp:inline>
        </w:drawing>
      </w:r>
      <w:bookmarkEnd w:id="56"/>
    </w:p>
    <w:bookmarkEnd w:id="54"/>
    <w:bookmarkStart w:name="u8d2b3d07" w:id="57"/>
    <w:p>
      <w:pPr>
        <w:spacing w:after="50" w:line="360" w:lineRule="auto" w:beforeLines="100"/>
        <w:ind w:left="0"/>
        <w:jc w:val="left"/>
      </w:pPr>
      <w:bookmarkStart w:name="ue00a6830" w:id="58"/>
      <w:r>
        <w:rPr>
          <w:rFonts w:eastAsia="宋体" w:ascii="宋体"/>
        </w:rPr>
        <w:drawing>
          <wp:inline distT="0" distB="0" distL="0" distR="0">
            <wp:extent cx="5842000" cy="80093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574000" cy="28206954"/>
                    </a:xfrm>
                    <a:prstGeom prst="rect">
                      <a:avLst/>
                    </a:prstGeom>
                  </pic:spPr>
                </pic:pic>
              </a:graphicData>
            </a:graphic>
          </wp:inline>
        </w:drawing>
      </w:r>
      <w:bookmarkEnd w:id="58"/>
    </w:p>
    <w:bookmarkEnd w:id="57"/>
    <w:bookmarkStart w:name="ubd68c99d" w:id="59"/>
    <w:p>
      <w:pPr>
        <w:spacing w:after="50" w:line="360" w:lineRule="auto" w:beforeLines="100"/>
        <w:ind w:left="0"/>
        <w:jc w:val="left"/>
      </w:pPr>
      <w:bookmarkStart w:name="pdHGx" w:id="60"/>
      <w:r>
        <w:rPr>
          <w:rFonts w:eastAsia="宋体" w:ascii="宋体"/>
        </w:rPr>
        <w:drawing>
          <wp:inline distT="0" distB="0" distL="0" distR="0">
            <wp:extent cx="5841999" cy="4790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872134" cy="809504"/>
                    </a:xfrm>
                    <a:prstGeom prst="rect">
                      <a:avLst/>
                    </a:prstGeom>
                  </pic:spPr>
                </pic:pic>
              </a:graphicData>
            </a:graphic>
          </wp:inline>
        </w:drawing>
      </w:r>
      <w:bookmarkEnd w:id="60"/>
    </w:p>
    <w:bookmarkEnd w:id="59"/>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16" Target="media/document_image_rId16.png" Type="http://schemas.openxmlformats.org/officeDocument/2006/relationships/image"/><Relationship Id="rId17" Target="media/document_image_rId17.png" Type="http://schemas.openxmlformats.org/officeDocument/2006/relationships/image"/><Relationship Id="rId18" Target="media/document_image_rId18.png" Type="http://schemas.openxmlformats.org/officeDocument/2006/relationships/image"/><Relationship Id="rId19" Target="media/document_image_rId19.png" Type="http://schemas.openxmlformats.org/officeDocument/2006/relationships/image"/><Relationship Id="rId2" Target="settings.xml" Type="http://schemas.openxmlformats.org/officeDocument/2006/relationships/settings"/><Relationship Id="rId20" Target="media/document_image_rId20.png" Type="http://schemas.openxmlformats.org/officeDocument/2006/relationships/image"/><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