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【轨物方案】老旧光伏电站数智化技改：基于“云-边-端”协同架构的工业智能体解决方案</w:t>
      </w:r>
    </w:p>
    <w:p>
      <w:pPr>
        <w:spacing w:after="50" w:line="360" w:lineRule="auto" w:beforeLines="100"/>
        <w:ind w:left="0"/>
        <w:jc w:val="left"/>
      </w:pPr>
      <w:bookmarkStart w:name="u885487a5" w:id="0"/>
      <w:bookmarkStart w:name="Oy6UA" w:id="1"/>
      <w:r>
        <w:rPr>
          <w:rFonts w:eastAsia="宋体" w:ascii="宋体"/>
        </w:rPr>
        <w:drawing>
          <wp:inline distT="0" distB="0" distL="0" distR="0">
            <wp:extent cx="5841999" cy="3797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62ce3d65" w:id="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随着全球能源转型的深入，中国光伏产业正经历从“规模扩张”向“提效增质”的战略质变。截至2023年底，中国光伏累计装机容量已正式突破600GW，这种极高的装机密度标志着行业已步入大规模的“存量博弈时代”。然而，在宏大数据的背后，一个被长期忽视的“资产熵增”问题正浮出水面。光伏电站拥有长达25年的生命周期属性，这意味着现存的大量电站正集体步入“中年期”。</w:t>
      </w:r>
    </w:p>
    <w:bookmarkEnd w:id="2"/>
    <w:bookmarkStart w:name="u635baca6" w:id="3"/>
    <w:p>
      <w:pPr>
        <w:spacing w:after="50" w:line="360" w:lineRule="auto" w:beforeLines="100"/>
        <w:ind w:left="0"/>
        <w:jc w:val="left"/>
      </w:pPr>
      <w:bookmarkStart w:name="u1bf9849e" w:id="4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3"/>
    <w:bookmarkStart w:name="ue1079e90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物理性能的不可逆退化（熵增）：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随着投产年限超过5-10年，存量电站面临组件隐裂、热斑、电位诱发衰减（PID）及积灰结垢等物理性退化，这直接导致了PR（系统效率）的持续下滑。传统的“保姆式”被动运维模式，往往在电量损失发生数周甚至数月后才能察觉，无法实现对资产健康度的实时主动干预。</w:t>
      </w:r>
    </w:p>
    <w:bookmarkEnd w:id="5"/>
    <w:bookmarkStart w:name="uacc81499" w:id="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数据与协议的“巴别塔”困局：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早期建设的电站充斥着大量“万国牌”逆变器，私有协议林立且互不兼容，数据断流与“信息孤岛”现象严重。运维商面临着一个极度不透明的“数字黑盒”：逆变器显示的发电量与关口表结算电量之间经常存在“消失的5%”，这笔糊涂账成了吞噬资产利润的隐形黑洞。</w:t>
      </w:r>
    </w:p>
    <w:bookmarkEnd w:id="6"/>
    <w:bookmarkStart w:name="uada9b54b" w:id="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运维效能的边际递减：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传统的劳动密集型运维已触及人效天花板。在分布式电站分散、单体规模小的背景下，人均管理规模极限仅为8MW/人，人力成本已占据无效支出的90%以上。随着运维单价持续走低，这种依靠“跑腿抄表”的低效模式已无法支撑数万亿光伏资产的长周期收益保障。</w:t>
      </w:r>
    </w:p>
    <w:bookmarkEnd w:id="7"/>
    <w:bookmarkStart w:name="u00dcea1a" w:id="8"/>
    <w:p>
      <w:pPr>
        <w:spacing w:after="50" w:line="360" w:lineRule="auto" w:beforeLines="100"/>
        <w:ind w:left="0"/>
        <w:jc w:val="left"/>
      </w:pPr>
      <w:bookmarkStart w:name="u44e57ff4" w:id="9"/>
      <w:r>
        <w:rPr>
          <w:rFonts w:eastAsia="宋体" w:ascii="宋体"/>
        </w:rPr>
        <w:drawing>
          <wp:inline distT="0" distB="0" distL="0" distR="0">
            <wp:extent cx="5841999" cy="389647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925866" cy="1662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bookmarkEnd w:id="8"/>
    <w:bookmarkStart w:name="u0709b52b" w:id="1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 xml:space="preserve">数字化审计的必然趋势：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在光伏平价上网及度电成本（LCOE）竞争极限化的压力下，运维环节的降本增效已成为提升项目内部收益率（IRR）的最后一片“蓝海”。预计到2028年，中国光伏运维市场规模将突破500亿元。行业亟需一种如同“微创手术”般的数字化植入方案，通过自研的底层硬件打通物理与数字的边界，将运维从“体力搬运”重构为“数字化资产审计”。</w:t>
      </w:r>
    </w:p>
    <w:bookmarkEnd w:id="10"/>
    <w:bookmarkStart w:name="u4c786cfa" w:id="11"/>
    <w:p>
      <w:pPr>
        <w:spacing w:after="50" w:line="360" w:lineRule="auto" w:beforeLines="100"/>
        <w:ind w:left="0"/>
        <w:jc w:val="left"/>
      </w:pPr>
      <w:bookmarkStart w:name="uad1e52e6" w:id="12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"/>
    </w:p>
    <w:bookmarkEnd w:id="11"/>
    <w:bookmarkStart w:name="u186c8d35" w:id="1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本架构采用行业公认的“感知层-边缘层-平台层-应用层”四层体系，重点解决存量市场协议杂、数据断流、资产黑盒等本质痛点。</w:t>
      </w:r>
    </w:p>
    <w:bookmarkEnd w:id="13"/>
    <w:bookmarkStart w:name="lSV3d" w:id="14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1. 端侧（Perception/Device）：全量数字化与执行末梢</w:t>
      </w:r>
    </w:p>
    <w:bookmarkEnd w:id="14"/>
    <w:bookmarkStart w:name="u6104e59a" w:id="1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这是架构的“五官与手脚”，负责物理世界的真实数据捕获与指令落地。</w:t>
      </w:r>
    </w:p>
    <w:bookmarkEnd w:id="15"/>
    <w:bookmarkStart w:name="u77971804" w:id="16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感知设备（轨物核心）：</w:t>
      </w:r>
    </w:p>
    <w:bookmarkEnd w:id="16"/>
    <w:bookmarkStart w:name="u336a8e99" w:id="17"/>
    <w:p>
      <w:pPr>
        <w:numPr>
          <w:ilvl w:val="1"/>
          <w:numId w:val="2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远程红外抄表：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采用DL/T 645协议，直接物理读取电网关口表数据，解决逆变器读数与结算电费“账实不符”的审计难题。</w:t>
      </w:r>
    </w:p>
    <w:bookmarkEnd w:id="17"/>
    <w:bookmarkStart w:name="ub4193b7f" w:id="18"/>
    <w:p>
      <w:pPr>
        <w:numPr>
          <w:ilvl w:val="1"/>
          <w:numId w:val="2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万能逆变器数据棒：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适配95%以上厂家协议，通过“微创植入”让停产或老旧逆变器实现数据上网。</w:t>
      </w:r>
    </w:p>
    <w:bookmarkEnd w:id="18"/>
    <w:bookmarkStart w:name="u7ad6920f" w:id="19"/>
    <w:p>
      <w:pPr>
        <w:numPr>
          <w:ilvl w:val="1"/>
          <w:numId w:val="2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高精度传感器：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部署于并网柜、配电柜，实时监测接头温度、电流电压及拉弧状态，预警火灾隐患。</w:t>
      </w:r>
    </w:p>
    <w:bookmarkEnd w:id="19"/>
    <w:bookmarkStart w:name="u72a85fdc" w:id="20"/>
    <w:p>
      <w:pPr>
        <w:spacing w:after="50" w:line="360" w:lineRule="auto" w:beforeLines="100"/>
        <w:ind w:left="0"/>
        <w:jc w:val="left"/>
      </w:pPr>
      <w:bookmarkStart w:name="u80606302" w:id="21"/>
      <w:r>
        <w:rPr>
          <w:rFonts w:eastAsia="宋体" w:ascii="宋体"/>
        </w:rPr>
        <w:drawing>
          <wp:inline distT="0" distB="0" distL="0" distR="0">
            <wp:extent cx="5842000" cy="254706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484800" cy="1895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1"/>
    </w:p>
    <w:bookmarkEnd w:id="20"/>
    <w:bookmarkStart w:name="u16fb9fff" w:id="22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执行终端（机器人兵团）：</w:t>
      </w:r>
    </w:p>
    <w:bookmarkEnd w:id="22"/>
    <w:bookmarkStart w:name="uf47f99c3" w:id="23"/>
    <w:p>
      <w:pPr>
        <w:numPr>
          <w:ilvl w:val="1"/>
          <w:numId w:val="4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智能清洁机器人：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针对积灰、重污染区域，通过云端策略驱动自动清洗，提升发电量5%-15%。</w:t>
      </w:r>
    </w:p>
    <w:bookmarkEnd w:id="23"/>
    <w:bookmarkStart w:name="u7649dc1b" w:id="24"/>
    <w:p>
      <w:pPr>
        <w:numPr>
          <w:ilvl w:val="1"/>
          <w:numId w:val="4"/>
        </w:numPr>
        <w:spacing w:after="50" w:line="360" w:lineRule="auto" w:beforeLines="100"/>
        <w:ind w:left="72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光伏检测机器人：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集成可见光、红外及PL检测，实现“边走边扫、边扫边检”，精准定位组件隐裂与热斑。</w:t>
      </w:r>
    </w:p>
    <w:bookmarkEnd w:id="24"/>
    <w:bookmarkStart w:name="u1c59f23e" w:id="2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视频</w:t>
      </w:r>
    </w:p>
    <w:bookmarkEnd w:id="25"/>
    <w:bookmarkStart w:name="fX6eK" w:id="26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2. 边侧（Edge）：现场神经中枢与智能网关</w:t>
      </w:r>
    </w:p>
    <w:bookmarkEnd w:id="26"/>
    <w:bookmarkStart w:name="u910a28ef" w:id="2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边缘层是架构的“翻译官”和“现场经理”，负责本地化的实时响应与数据清洗。</w:t>
      </w:r>
    </w:p>
    <w:bookmarkEnd w:id="27"/>
    <w:bookmarkStart w:name="ucd2d9933" w:id="28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协议规约转换：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边缘智能网关将杂乱的Modbus变体或私有协议，在本地统一清洗为标准MQTT或IEC 61850格式，消除“数据孤岛”。</w:t>
      </w:r>
    </w:p>
    <w:bookmarkEnd w:id="28"/>
    <w:bookmarkStart w:name="ua8de8d16" w:id="29"/>
    <w:p>
      <w:pPr>
        <w:spacing w:after="50" w:line="360" w:lineRule="auto" w:beforeLines="100"/>
        <w:ind w:left="0"/>
        <w:jc w:val="left"/>
      </w:pPr>
      <w:bookmarkStart w:name="u6c2c908d" w:id="30"/>
      <w:r>
        <w:rPr>
          <w:rFonts w:eastAsia="宋体" w:ascii="宋体"/>
        </w:rPr>
        <w:drawing>
          <wp:inline distT="0" distB="0" distL="0" distR="0">
            <wp:extent cx="5842000" cy="232501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310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0"/>
    </w:p>
    <w:bookmarkEnd w:id="29"/>
    <w:bookmarkStart w:name="ua089736f" w:id="31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数据脱敏与清洗：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过滤掉90%以上的无用重复数据（如设备正常运行时的稳态读数），仅将关键异常上传云端，大幅节省5G带宽。</w:t>
      </w:r>
    </w:p>
    <w:bookmarkEnd w:id="31"/>
    <w:bookmarkStart w:name="ub40c3fd3" w:id="32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毫秒级自愈控制：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在检测到电缆接头温升超限或直流拉弧等紧急风险时，网关无需等待云端指令，可直接下发关断动作，响应时间缩短至200ms以内，确保本质安全。</w:t>
      </w:r>
    </w:p>
    <w:bookmarkEnd w:id="32"/>
    <w:bookmarkStart w:name="dTh7N" w:id="33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3. 云侧（Platform）：数字大脑与资产审计平台</w:t>
      </w:r>
    </w:p>
    <w:bookmarkEnd w:id="33"/>
    <w:bookmarkStart w:name="u1792a81a" w:id="3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云侧是系统的“总指挥部”，负责长周期的策略优化与AI训练。</w:t>
      </w:r>
    </w:p>
    <w:bookmarkEnd w:id="34"/>
    <w:bookmarkStart w:name="uba98a98a" w:id="35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数字孪生（Digital Twin）：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构建与物理电站实时映射的3D镜像，利用动态神经网络算法进行PR（系统效率）对标分析，识别效率下滑的根本原因（如遮挡、老化或积灰）。</w:t>
      </w:r>
    </w:p>
    <w:bookmarkEnd w:id="35"/>
    <w:bookmarkStart w:name="u23820390" w:id="36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AI大模型诊断：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集成智能IV曲线扫描，实现100%全量组串自动诊断，识别准确率超过95%，将故障响应从“人找信息”变为“方案找人”。</w:t>
      </w:r>
    </w:p>
    <w:bookmarkEnd w:id="36"/>
    <w:bookmarkStart w:name="u2b47ede9" w:id="37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资产审计引擎：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自动对比逆变器发电数据与红外抄表结算数据，通过“线损偏差分析”揪出线路偷漏电或计量误差等利润黑洞。</w:t>
      </w:r>
    </w:p>
    <w:bookmarkEnd w:id="37"/>
    <w:bookmarkStart w:name="u19d27b99" w:id="38"/>
    <w:p>
      <w:pPr>
        <w:spacing w:after="50" w:line="360" w:lineRule="auto" w:beforeLines="100"/>
        <w:ind w:left="0"/>
        <w:jc w:val="left"/>
      </w:pPr>
      <w:bookmarkStart w:name="u09bbdd5c" w:id="39"/>
      <w:r>
        <w:rPr>
          <w:rFonts w:eastAsia="宋体" w:ascii="宋体"/>
        </w:rPr>
        <w:drawing>
          <wp:inline distT="0" distB="0" distL="0" distR="0">
            <wp:extent cx="5842000" cy="389060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5187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9"/>
    </w:p>
    <w:bookmarkEnd w:id="38"/>
    <w:bookmarkStart w:name="wUoH6" w:id="40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4. 应用层（Application）：可视化决策与业务闭环</w:t>
      </w:r>
    </w:p>
    <w:bookmarkEnd w:id="40"/>
    <w:bookmarkStart w:name="ua1b66f74" w:id="4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应用层通过Web端和App为运维商提供最终的价值交付。</w:t>
      </w:r>
    </w:p>
    <w:bookmarkEnd w:id="41"/>
    <w:bookmarkStart w:name="u6dff9f12" w:id="42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自动化结算报表：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一键生成符合电网标准的数字化审计报告，减少人工抄表成本90%以上。</w:t>
      </w:r>
    </w:p>
    <w:bookmarkEnd w:id="42"/>
    <w:bookmarkStart w:name="udded895f" w:id="43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智能工单闭环：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系统自动将AI诊断出的故障转化为工单，并根据电价、维修窗口自动规划最优消缺路径。</w:t>
      </w:r>
    </w:p>
    <w:bookmarkEnd w:id="43"/>
    <w:bookmarkStart w:name="uab0a9f8b" w:id="44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TCO价值看板：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给业主展示“找回的电费”与“节省的人工费”，将运维服务从“劳动力输出”转变为“金融级增值资产管理”。</w:t>
      </w:r>
    </w:p>
    <w:bookmarkEnd w:id="44"/>
    <w:bookmarkStart w:name="wQpZa" w:id="45"/>
    <w:p>
      <w:pPr>
        <w:pStyle w:val="Heading3"/>
        <w:spacing w:after="50" w:line="360" w:lineRule="auto" w:beforeLines="100"/>
        <w:ind w:left="0"/>
        <w:jc w:val="left"/>
      </w:pPr>
      <w:bookmarkStart w:name="u613281f1" w:id="46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6"/>
    </w:p>
    <w:bookmarkEnd w:id="45"/>
    <w:bookmarkStart w:name="u7b7180db" w:id="47"/>
    <w:p>
      <w:pPr>
        <w:numPr>
          <w:ilvl w:val="0"/>
          <w:numId w:val="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从“微创手术”切入：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针对老旧电站，建议主推红外抄表与万能数据棒。这类硬件安装无需停电、不动电气，30分钟内即可让老旧电站“重见光明”，是极佳的获客敲门砖。</w:t>
      </w:r>
    </w:p>
    <w:bookmarkEnd w:id="47"/>
    <w:bookmarkStart w:name="ue14c1fd5" w:id="48"/>
    <w:p>
      <w:pPr>
        <w:numPr>
          <w:ilvl w:val="0"/>
          <w:numId w:val="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推行“负成本”逻辑：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在销售话术中强调：</w:t>
      </w:r>
      <w:r>
        <w:rPr>
          <w:rFonts w:ascii="宋体" w:hAnsi="Times New Roman" w:eastAsia="宋体"/>
          <w:b/>
          <w:i w:val="false"/>
          <w:color w:val="004347"/>
          <w:sz w:val="22"/>
        </w:rPr>
        <w:t>“您付出的SaaS服务费，其实是利用我们找回的5%-15%发电损失支付的。”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这种逻辑在资产收益率衰减的老旧电站中具有极强的穿透力。</w:t>
      </w:r>
    </w:p>
    <w:bookmarkEnd w:id="48"/>
    <w:bookmarkStart w:name="u5f669965" w:id="49"/>
    <w:p>
      <w:pPr>
        <w:numPr>
          <w:ilvl w:val="0"/>
          <w:numId w:val="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构建全生命周期“健康地图”：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为老旧电站组件建立“细胞级”数字化档案，为未来的资产交易（REITs）或保险理赔提供独立的第三方数据背书。</w:t>
      </w:r>
    </w:p>
    <w:bookmarkEnd w:id="49"/>
    <w:bookmarkStart w:name="uaf913e52" w:id="5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这套架构不仅是技术的堆叠，更是轨物科技作为“光伏资产独立审计师”对存量市场进行效率重塑的系统化工具。</w:t>
      </w:r>
      <w:bookmarkStart w:name="HF6a8" w:id="51"/>
      <w:r>
        <w:rPr>
          <w:rFonts w:eastAsia="宋体" w:ascii="宋体"/>
        </w:rPr>
        <w:drawing>
          <wp:inline distT="0" distB="0" distL="0" distR="0">
            <wp:extent cx="5842000" cy="16181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215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1"/>
    </w:p>
    <w:bookmarkEnd w:id="50"/>
    <w:bookmarkStart w:name="u8d2b3d07" w:id="52"/>
    <w:p>
      <w:pPr>
        <w:spacing w:after="50" w:line="360" w:lineRule="auto" w:beforeLines="100"/>
        <w:ind w:left="0"/>
        <w:jc w:val="left"/>
      </w:pPr>
      <w:bookmarkStart w:name="ue00a6830" w:id="53"/>
      <w:r>
        <w:rPr>
          <w:rFonts w:eastAsia="宋体" w:ascii="宋体"/>
        </w:rPr>
        <w:drawing>
          <wp:inline distT="0" distB="0" distL="0" distR="0">
            <wp:extent cx="5842000" cy="80093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0" cy="282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3"/>
    </w:p>
    <w:bookmarkEnd w:id="52"/>
    <w:bookmarkStart w:name="ubd68c99d" w:id="54"/>
    <w:p>
      <w:pPr>
        <w:spacing w:after="50" w:line="360" w:lineRule="auto" w:beforeLines="100"/>
        <w:ind w:left="0"/>
        <w:jc w:val="left"/>
      </w:pPr>
      <w:bookmarkStart w:name="pdHGx" w:id="55"/>
      <w:r>
        <w:rPr>
          <w:rFonts w:eastAsia="宋体" w:ascii="宋体"/>
        </w:rPr>
        <w:drawing>
          <wp:inline distT="0" distB="0" distL="0" distR="0">
            <wp:extent cx="5841999" cy="4790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8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5"/>
    </w:p>
    <w:bookmarkEnd w:id="5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1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1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