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vnd.openxmlformats-officedocument.wordprocessingml.document.main+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image/png" PartName="/word/media/document_image_rId4.png"/>
  <Override ContentType="image/png" PartName="/word/media/document_image_rId5.png"/>
  <Override ContentType="image/png" PartName="/word/media/document_image_rId6.png"/>
  <Override ContentType="image/png" PartName="/word/media/document_image_rId7.png"/>
  <Override ContentType="image/png" PartName="/word/media/document_image_rId8.png"/>
  <Override ContentType="image/png" PartName="/word/media/document_image_rId9.png"/>
  <Override ContentType="image/png" PartName="/word/media/document_image_rId10.png"/>
  <Override ContentType="image/png" PartName="/word/media/document_image_rId11.png"/>
  <Override ContentType="image/png" PartName="/word/media/document_image_rId12.png"/>
  <Override ContentType="image/png" PartName="/word/media/document_image_rId13.png"/>
  <Override ContentType="image/png" PartName="/word/media/document_image_rId14.png"/>
  <Override ContentType="image/png" PartName="/word/media/document_image_rId15.png"/>
  <Override ContentType="image/png" PartName="/word/media/document_image_rId16.png"/>
  <Override ContentType="image/png" PartName="/word/media/document_image_rId17.png"/>
  <Override ContentType="image/png" PartName="/word/media/document_image_rId18.png"/>
  <Override ContentType="image/png" PartName="/word/media/document_image_rId19.png"/>
  <Override ContentType="image/png" PartName="/word/media/document_image_rId20.png"/>
  <Override ContentType="image/png" PartName="/word/media/document_image_rId21.png"/>
  <Override ContentType="image/png" PartName="/word/media/document_image_rId22.png"/>
  <Override ContentType="image/png" PartName="/word/media/document_image_rId23.png"/>
  <Override ContentType="image/png" PartName="/word/media/document_image_rId24.png"/>
  <Override ContentType="image/png" PartName="/word/media/document_image_rId25.pn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Created by docx4j 6.1.2 (Apache licensed) using REFERENCE JAXB in Oracle Java 1.8.0_131 on Linux -->
    <w:p>
      <w:pPr>
        <w:pStyle w:val="Heading1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【行业新闻】后摩尔时代算力革新｜华为正式发布韬定律V2 AI优化架构，重构全链路算力能效标准</w:t>
      </w:r>
    </w:p>
    <w:p>
      <w:pPr>
        <w:spacing w:after="50" w:line="360" w:lineRule="auto" w:beforeLines="100"/>
        <w:ind w:left="0"/>
        <w:jc w:val="left"/>
      </w:pPr>
      <w:bookmarkStart w:name="ua469b902" w:id="0"/>
      <w:bookmarkStart w:name="ue92a9310" w:id="1"/>
      <w:r>
        <w:rPr>
          <w:rFonts w:eastAsia="宋体" w:ascii="宋体"/>
        </w:rPr>
        <w:drawing>
          <wp:inline distT="0" distB="0" distL="0" distR="0">
            <wp:extent cx="5841999" cy="37972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872134" cy="64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bookmarkEnd w:id="0"/>
    <w:bookmarkStart w:name="Dnq7D" w:id="2"/>
    <w:p>
      <w:pPr>
        <w:pStyle w:val="Heading2"/>
        <w:spacing w:after="50" w:line="360" w:lineRule="auto" w:beforeLines="100"/>
        <w:ind w:left="0"/>
        <w:jc w:val="left"/>
      </w:pPr>
      <w:bookmarkStart w:name="uc7323847" w:id="3"/>
      <w:r>
        <w:rPr>
          <w:rFonts w:eastAsia="宋体" w:ascii="宋体"/>
        </w:rPr>
        <w:drawing>
          <wp:inline distT="0" distB="0" distL="0" distR="0">
            <wp:extent cx="5842000" cy="130853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542933" cy="3929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"/>
    </w:p>
    <w:bookmarkEnd w:id="2"/>
    <w:bookmarkStart w:name="u1a3e5e96" w:id="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过去六十余年，全球半导体产业依靠摩尔定律，以持续缩小晶体管尺寸实现芯片性能迭代。但当下产业已面临不可回避的发展天花板：</w:t>
      </w:r>
    </w:p>
    <w:bookmarkEnd w:id="4"/>
    <w:bookmarkStart w:name="u36520857" w:id="5"/>
    <w:p>
      <w:pPr>
        <w:spacing w:after="50" w:line="360" w:lineRule="auto" w:beforeLines="100"/>
        <w:ind w:left="0"/>
        <w:jc w:val="left"/>
      </w:pPr>
      <w:bookmarkStart w:name="u4dc9dbbf" w:id="6"/>
      <w:r>
        <w:rPr>
          <w:rFonts w:eastAsia="宋体" w:ascii="宋体"/>
        </w:rPr>
        <w:drawing>
          <wp:inline distT="0" distB="0" distL="0" distR="0">
            <wp:extent cx="5841999" cy="4673571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905067" cy="87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"/>
    </w:p>
    <w:bookmarkEnd w:id="5"/>
    <w:bookmarkStart w:name="uecc5438a" w:id="7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物理极限约束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：2nm、1nm先进制程逼近原子尺度，几何缩微带来的性能增益持续收窄，单纯依靠工艺微缩的路线性价比大幅下滑；</w:t>
      </w:r>
    </w:p>
    <w:bookmarkEnd w:id="7"/>
    <w:bookmarkStart w:name="u712da399" w:id="8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AI能耗痛点突出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：AI集群超80%能耗损耗于芯片、机柜间的数据传输，而非模型计算；七成系统成本投入存储与互联链路，大模型推理、工业AI场景算力浪费严重；</w:t>
      </w:r>
    </w:p>
    <w:bookmarkEnd w:id="8"/>
    <w:bookmarkStart w:name="uf24779c7" w:id="9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产线成本壁垒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顶尖先进制程研发投入超10亿美元，叠加高端光刻设备外部限制，国内算力产业难以持续跟进传统缩微路线。</w:t>
      </w:r>
    </w:p>
    <w:bookmarkEnd w:id="9"/>
    <w:bookmarkStart w:name="u530370a5" w:id="1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在此产业背景下，华为韬（τ）定律跳出“纳米尺寸”评价体系，以</w:t>
      </w:r>
      <w:r>
        <w:rPr>
          <w:rFonts w:ascii="宋体" w:hAnsi="Times New Roman" w:eastAsia="宋体"/>
          <w:b/>
          <w:i w:val="false"/>
          <w:color w:val="004347"/>
          <w:sz w:val="22"/>
        </w:rPr>
        <w:t>时间缩微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为核心思路重构芯片与AI系统演进逻辑，7月3日正式更新发布V2完整版论文，补齐量产实测数据、AI系统落地方案与长期迭代路线，成为适配国产算力、面向工业大模型的全新底层优化架构。</w:t>
      </w:r>
    </w:p>
    <w:bookmarkEnd w:id="10"/>
    <w:bookmarkStart w:name="r5J11" w:id="11"/>
    <w:p>
      <w:pPr>
        <w:pStyle w:val="Heading2"/>
        <w:spacing w:after="50" w:line="360" w:lineRule="auto" w:beforeLines="100"/>
        <w:ind w:left="0"/>
        <w:jc w:val="left"/>
      </w:pPr>
      <w:bookmarkStart w:name="u37de87c0" w:id="12"/>
      <w:r>
        <w:rPr>
          <w:rFonts w:eastAsia="宋体" w:ascii="宋体"/>
        </w:rPr>
        <w:drawing>
          <wp:inline distT="0" distB="0" distL="0" distR="0">
            <wp:extent cx="5841999" cy="137280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559867" cy="4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2"/>
    </w:p>
    <w:bookmarkEnd w:id="11"/>
    <w:bookmarkStart w:name="uccb04303" w:id="1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韬定律以物理学时间常数τ为核心标尺，重新定义芯片与AI系统的评判标准：不再优先衡量晶体管尺寸，而是压缩从器件、芯片、整机到算力集群全链路的信号传输时延，通过架构创新缩短数据等待时间，实现性能跃升。</w:t>
      </w:r>
    </w:p>
    <w:bookmarkEnd w:id="13"/>
    <w:bookmarkStart w:name="u05660068" w:id="1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相较于5月首发V1理论框架，本次V2版本完成三大核心升级：</w:t>
      </w:r>
    </w:p>
    <w:bookmarkEnd w:id="14"/>
    <w:bookmarkStart w:name="u8c957e1a" w:id="15"/>
    <w:p>
      <w:pPr>
        <w:numPr>
          <w:ilvl w:val="0"/>
          <w:numId w:val="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完善8章完整理论体系，新增Gear Ratio齿比模型、3D顺序集成、全域热管理配套方案；</w:t>
      </w:r>
    </w:p>
    <w:bookmarkEnd w:id="15"/>
    <w:bookmarkStart w:name="uf52643a9" w:id="16"/>
    <w:p>
      <w:pPr>
        <w:numPr>
          <w:ilvl w:val="0"/>
          <w:numId w:val="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公开麒麟、昇腾芯片量产对照实测数据，完成理论到工业化落地验证；</w:t>
      </w:r>
    </w:p>
    <w:bookmarkEnd w:id="16"/>
    <w:bookmarkStart w:name="u15e53fd5" w:id="17"/>
    <w:p>
      <w:pPr>
        <w:numPr>
          <w:ilvl w:val="0"/>
          <w:numId w:val="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针对性补充AI算力集群专属优化方案，覆盖端侧、边缘、中心机房全场景大模型推理需求。</w:t>
      </w:r>
    </w:p>
    <w:bookmarkEnd w:id="17"/>
    <w:bookmarkStart w:name="u960be4ec" w:id="18"/>
    <w:p>
      <w:pPr>
        <w:spacing w:after="50" w:line="360" w:lineRule="auto" w:beforeLines="100"/>
        <w:ind w:left="0"/>
        <w:jc w:val="left"/>
      </w:pPr>
      <w:bookmarkStart w:name="u8a046717" w:id="19"/>
      <w:r>
        <w:rPr>
          <w:rFonts w:eastAsia="宋体" w:ascii="宋体"/>
        </w:rPr>
        <w:drawing>
          <wp:inline distT="0" distB="0" distL="0" distR="0">
            <wp:extent cx="5841999" cy="4673571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905067" cy="87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9"/>
    </w:p>
    <w:bookmarkEnd w:id="18"/>
    <w:bookmarkStart w:name="u7e05ab89" w:id="2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简单理解：传统芯片是单层平面“平房”，韬定律V2依靠</w:t>
      </w:r>
      <w:r>
        <w:rPr>
          <w:rFonts w:ascii="宋体" w:hAnsi="Times New Roman" w:eastAsia="宋体"/>
          <w:b/>
          <w:i w:val="false"/>
          <w:color w:val="004347"/>
          <w:sz w:val="22"/>
        </w:rPr>
        <w:t>逻辑折叠LogicFolding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技术将电路纵向立体堆叠，缩短数据传输路径，在同一成熟制程内实现远超平面架构的算力密度，无需依赖顶尖EUV光刻机即可完成高端AI芯片迭代。</w:t>
      </w:r>
    </w:p>
    <w:bookmarkEnd w:id="20"/>
    <w:bookmarkStart w:name="u26e4b1eb" w:id="21"/>
    <w:p>
      <w:pPr>
        <w:spacing w:after="50" w:line="360" w:lineRule="auto" w:beforeLines="100"/>
        <w:ind w:left="0"/>
        <w:jc w:val="left"/>
      </w:pPr>
      <w:bookmarkStart w:name="u04afb55d" w:id="22"/>
      <w:r>
        <w:rPr>
          <w:rFonts w:eastAsia="宋体" w:ascii="宋体"/>
        </w:rPr>
        <w:drawing>
          <wp:inline distT="0" distB="0" distL="0" distR="0">
            <wp:extent cx="5842000" cy="134358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542933" cy="403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2"/>
    </w:p>
    <w:bookmarkEnd w:id="21"/>
    <w:bookmarkStart w:name="u194d4851" w:id="2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韬定律V2披露麒麟2026与上代麒麟9030 Pro同工艺对照实测结果，所有数据均为室温25℃标准工况下实测，适配昇腾AI芯片同步复用这套优化逻辑：</w:t>
      </w:r>
    </w:p>
    <w:bookmarkEnd w:id="23"/>
    <w:bookmarkStart w:name="u07d6cbd5" w:id="24"/>
    <w:p>
      <w:pPr>
        <w:numPr>
          <w:ilvl w:val="0"/>
          <w:numId w:val="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晶体管密度大幅提升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有效集成密度由155 MTr/mm²提升至238 MTr/mm²，单代密度涨幅53.5%，同等效果传统几何缩微需耗时三年；</w:t>
      </w:r>
    </w:p>
    <w:bookmarkEnd w:id="24"/>
    <w:bookmarkStart w:name="u3cbb64b7" w:id="25"/>
    <w:p>
      <w:pPr>
        <w:numPr>
          <w:ilvl w:val="0"/>
          <w:numId w:val="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时延与布线优化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AI计算关键信号走线缩短30%，时钟偏移降低25%，大模型token推理等待时长显著压缩；</w:t>
      </w:r>
    </w:p>
    <w:bookmarkEnd w:id="25"/>
    <w:bookmarkStart w:name="u97bb18d7" w:id="26"/>
    <w:p>
      <w:pPr>
        <w:numPr>
          <w:ilvl w:val="0"/>
          <w:numId w:val="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能效突破性改善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同等AI推理性能下，芯片工作电压由1.1V降至0.9V，整体功耗降低41%，主频同步提升13%至3.1GHz。</w:t>
      </w:r>
    </w:p>
    <w:bookmarkEnd w:id="26"/>
    <w:bookmarkStart w:name="uad4636c7" w:id="27"/>
    <w:p>
      <w:pPr>
        <w:spacing w:after="50" w:line="360" w:lineRule="auto" w:beforeLines="100"/>
        <w:ind w:left="0"/>
        <w:jc w:val="left"/>
      </w:pPr>
      <w:bookmarkStart w:name="u9a942e6f" w:id="28"/>
      <w:r>
        <w:rPr>
          <w:rFonts w:eastAsia="宋体" w:ascii="宋体"/>
        </w:rPr>
        <w:drawing>
          <wp:inline distT="0" distB="0" distL="0" distR="0">
            <wp:extent cx="5842000" cy="391993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951200" cy="10703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8"/>
    </w:p>
    <w:bookmarkEnd w:id="27"/>
    <w:bookmarkStart w:name="u22304220" w:id="2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对于工业AI、智能检测、物联网大模型场景而言，功耗下降直接降低设备散热、长期运维成本，完美适配开关柜检测、箱变运维、光伏清检、海上风电感知等7×24小时不间断工业算力场景。</w:t>
      </w:r>
    </w:p>
    <w:bookmarkEnd w:id="29"/>
    <w:bookmarkStart w:name="uc3cca13e" w:id="30"/>
    <w:p>
      <w:pPr>
        <w:spacing w:after="50" w:line="360" w:lineRule="auto" w:beforeLines="100"/>
        <w:ind w:left="0"/>
        <w:jc w:val="left"/>
      </w:pPr>
      <w:bookmarkStart w:name="ue8329079" w:id="31"/>
      <w:r>
        <w:rPr>
          <w:rFonts w:eastAsia="宋体" w:ascii="宋体"/>
        </w:rPr>
        <w:drawing>
          <wp:inline distT="0" distB="0" distL="0" distR="0">
            <wp:extent cx="5842000" cy="137285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238133" cy="405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1"/>
    </w:p>
    <w:bookmarkEnd w:id="30"/>
    <w:bookmarkStart w:name="u2918588a" w:id="3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韬定律V2针对AI算力集群痛点设计三层协同架构，打通芯片、互联、整机全链路优化，适配企业CRM智能体、工业物联网AI、视频生成、设备实时检测等业务：</w:t>
      </w:r>
    </w:p>
    <w:bookmarkEnd w:id="32"/>
    <w:bookmarkStart w:name="u2813bf53" w:id="33"/>
    <w:p>
      <w:pPr>
        <w:spacing w:after="50" w:line="360" w:lineRule="auto" w:beforeLines="100"/>
        <w:ind w:left="0"/>
        <w:jc w:val="left"/>
      </w:pPr>
      <w:bookmarkStart w:name="u4dfbbeb6" w:id="34"/>
      <w:r>
        <w:rPr>
          <w:rFonts w:eastAsia="宋体" w:ascii="宋体"/>
        </w:rPr>
        <w:drawing>
          <wp:inline distT="0" distB="0" distL="0" distR="0">
            <wp:extent cx="5842000" cy="391993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951200" cy="10703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4"/>
    </w:p>
    <w:bookmarkEnd w:id="33"/>
    <w:bookmarkStart w:name="VBJSD" w:id="35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004347"/>
        </w:rPr>
        <w:t>1. LogicFolding逻辑折叠：芯片级AI计算密度革新</w:t>
      </w:r>
    </w:p>
    <w:bookmarkEnd w:id="35"/>
    <w:bookmarkStart w:name="u7c623455" w:id="3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突破传统3D堆叠仅能按功能块分层局限，实现电路单元级垂直分层优化。将AI算力单元、缓存存储就近堆叠，大幅削减大模型读写往返时延，轻量化工业AI智能体、本地录屏视频生成、设备实时识别推理速度显著提升。</w:t>
      </w:r>
    </w:p>
    <w:bookmarkEnd w:id="36"/>
    <w:bookmarkStart w:name="rHEYa" w:id="37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2</w:t>
      </w:r>
      <w:r>
        <w:rPr>
          <w:rFonts w:ascii="宋体" w:hAnsi="Times New Roman" w:eastAsia="宋体"/>
          <w:color w:val="004347"/>
        </w:rPr>
        <w:t>. Unified Bus全域统一互联：解决集群数据拥堵</w:t>
      </w:r>
    </w:p>
    <w:bookmarkEnd w:id="37"/>
    <w:bookmarkStart w:name="uac563c6b" w:id="3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摒弃传统多层碎片化总线协议，搭建全域对等高速互联框架，将芯片间远程访问延迟从数十微秒压缩至百纳秒级别，大规模多机柜AI集群可统一调度，企业多产品并行AI任务、多平台素材批量处理无卡顿，适配全平台视频、推文素材AI批量生成需求。</w:t>
      </w:r>
    </w:p>
    <w:bookmarkEnd w:id="38"/>
    <w:bookmarkStart w:name="HtSN9" w:id="39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004347"/>
        </w:rPr>
        <w:t>3. Hi-ONE光引擎+全链路热管理：长效稳定工业算力</w:t>
      </w:r>
    </w:p>
    <w:bookmarkEnd w:id="39"/>
    <w:bookmarkStart w:name="u49a84b07" w:id="4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新增光电融合互联方案，搭配韬定律配套热管理模型，解决高负载工业AI设备长时间运行过热降频问题。面向水泵物联网、海上风电场全息感知等户外、复杂工况设备，保障7×24小时AI检测、数据采集稳定输出。</w:t>
      </w:r>
    </w:p>
    <w:bookmarkEnd w:id="40"/>
    <w:bookmarkStart w:name="ua48f66ac" w:id="41"/>
    <w:p>
      <w:pPr>
        <w:spacing w:after="50" w:line="360" w:lineRule="auto" w:beforeLines="100"/>
        <w:ind w:left="0"/>
        <w:jc w:val="left"/>
      </w:pPr>
      <w:bookmarkStart w:name="u379f929d" w:id="42"/>
      <w:r>
        <w:rPr>
          <w:rFonts w:eastAsia="宋体" w:ascii="宋体"/>
        </w:rPr>
        <w:drawing>
          <wp:inline distT="0" distB="0" distL="0" distR="0">
            <wp:extent cx="5842000" cy="130275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492133" cy="3900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2"/>
    </w:p>
    <w:bookmarkEnd w:id="41"/>
    <w:bookmarkStart w:name="ufe1626be" w:id="43"/>
    <w:p>
      <w:pPr>
        <w:numPr>
          <w:ilvl w:val="0"/>
          <w:numId w:val="4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降低高端算力落地门槛</w:t>
      </w:r>
    </w:p>
    <w:bookmarkEnd w:id="43"/>
    <w:bookmarkStart w:name="uab281984" w:id="4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依托成熟DUV产线即可实现等效高端制程算力表现，摆脱对海外先进光刻设备依赖，中小企业、工业设备厂商无需高额算力采购成本，即可部署本地化AI检测、智能运维大模型。远期规划2031年基于韬定律架构芯片晶体管密度可达等效1.4nm水准，长期算力迭代路线清晰。</w:t>
      </w:r>
    </w:p>
    <w:bookmarkEnd w:id="44"/>
    <w:bookmarkStart w:name="uf73e27ab" w:id="45"/>
    <w:p>
      <w:pPr>
        <w:numPr>
          <w:ilvl w:val="0"/>
          <w:numId w:val="5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深度适配工业垂直AI赛道</w:t>
      </w:r>
    </w:p>
    <w:bookmarkEnd w:id="45"/>
    <w:bookmarkStart w:name="uaadfd743" w:id="4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当前工业AI核心痛点在于端侧设备算力弱、机房集群能耗高，韬定律V2架构完美适配轨物、光伏、风电、水泵、开关柜、箱变等电力物联网场景：轻量化端侧AI终端可完成实时故障检测，中心机房大模型实现批量方案AI生成、视频录屏渲染、智能体自动运营。</w:t>
      </w:r>
    </w:p>
    <w:bookmarkEnd w:id="46"/>
    <w:bookmarkStart w:name="uf3fffbfd" w:id="47"/>
    <w:p>
      <w:pPr>
        <w:spacing w:after="50" w:line="360" w:lineRule="auto" w:beforeLines="100"/>
        <w:ind w:left="0"/>
        <w:jc w:val="left"/>
      </w:pPr>
      <w:bookmarkStart w:name="u0087ad21" w:id="48"/>
      <w:r>
        <w:rPr>
          <w:rFonts w:eastAsia="宋体" w:ascii="宋体"/>
        </w:rPr>
        <w:drawing>
          <wp:inline distT="0" distB="0" distL="0" distR="0">
            <wp:extent cx="5842000" cy="391993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951200" cy="10703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8"/>
    </w:p>
    <w:bookmarkEnd w:id="47"/>
    <w:bookmarkStart w:name="uff86f971" w:id="49"/>
    <w:p>
      <w:pPr>
        <w:numPr>
          <w:ilvl w:val="0"/>
          <w:numId w:val="6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完善国产半导体理论标准</w:t>
      </w:r>
    </w:p>
    <w:bookmarkEnd w:id="49"/>
    <w:bookmarkStart w:name="ub9737f32" w:id="5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继摩尔定律、黄氏定律后，韬定律构建后摩尔时代全新标准化理论体系，配套完整工艺参数、EDA设计方法、芯片迭代路线，为国内昇腾AI芯片、工业算力平台提供自主可控底层技术指引。</w:t>
      </w:r>
    </w:p>
    <w:bookmarkEnd w:id="50"/>
    <w:bookmarkStart w:name="u2fa69ef3" w:id="51"/>
    <w:p>
      <w:pPr>
        <w:spacing w:after="50" w:line="360" w:lineRule="auto" w:beforeLines="100"/>
        <w:ind w:left="0"/>
        <w:jc w:val="left"/>
      </w:pPr>
      <w:bookmarkStart w:name="u49cf65e2" w:id="52"/>
      <w:r>
        <w:rPr>
          <w:rFonts w:eastAsia="宋体" w:ascii="宋体"/>
        </w:rPr>
        <w:drawing>
          <wp:inline distT="0" distB="0" distL="0" distR="0">
            <wp:extent cx="5841999" cy="126185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458267" cy="3770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2"/>
    </w:p>
    <w:bookmarkEnd w:id="51"/>
    <w:bookmarkStart w:name="ubfa1cf58" w:id="5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韬定律V2首次完整披露麒麟、昇腾四代芯片演进目标，明确未来五年算力升级路径：</w:t>
      </w:r>
    </w:p>
    <w:bookmarkEnd w:id="53"/>
    <w:bookmarkStart w:name="ua7723ee6" w:id="54"/>
    <w:p>
      <w:pPr>
        <w:numPr>
          <w:ilvl w:val="0"/>
          <w:numId w:val="7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短期：麒麟2026、新一代昇腾推理芯片量产落地，面向工业端侧、企业CRM智能体轻量化部署；</w:t>
      </w:r>
    </w:p>
    <w:bookmarkEnd w:id="54"/>
    <w:bookmarkStart w:name="u5e9650e8" w:id="55"/>
    <w:p>
      <w:pPr>
        <w:numPr>
          <w:ilvl w:val="0"/>
          <w:numId w:val="7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中期：推进更高精度混合键合工艺，齿比Gear Ratio持续优化，进一步压缩AI推理时延；</w:t>
      </w:r>
    </w:p>
    <w:bookmarkEnd w:id="55"/>
    <w:bookmarkStart w:name="u991fefc9" w:id="56"/>
    <w:p>
      <w:pPr>
        <w:numPr>
          <w:ilvl w:val="0"/>
          <w:numId w:val="7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长期：3D顺序集成规模化量产，结合液冷、氮化镓电源实现整机算力能效再提升，支撑人形机器人、全域工业感知大模型规模化商用。</w:t>
      </w:r>
    </w:p>
    <w:bookmarkEnd w:id="56"/>
    <w:bookmarkStart w:name="u7d6a48b5" w:id="57"/>
    <w:p>
      <w:pPr>
        <w:spacing w:after="50" w:line="360" w:lineRule="auto" w:beforeLines="100"/>
        <w:ind w:left="0"/>
        <w:jc w:val="left"/>
      </w:pPr>
      <w:bookmarkStart w:name="uf6b03ece" w:id="58"/>
      <w:r>
        <w:rPr>
          <w:rFonts w:eastAsia="宋体" w:ascii="宋体"/>
        </w:rPr>
        <w:drawing>
          <wp:inline distT="0" distB="0" distL="0" distR="0">
            <wp:extent cx="5842000" cy="391993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951200" cy="10703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8"/>
    </w:p>
    <w:bookmarkEnd w:id="57"/>
    <w:bookmarkStart w:name="ubce16222" w:id="59"/>
    <w:p>
      <w:pPr>
        <w:spacing w:after="50" w:line="360" w:lineRule="auto" w:beforeLines="100"/>
        <w:ind w:left="0"/>
        <w:jc w:val="left"/>
      </w:pPr>
      <w:bookmarkStart w:name="u0d3506e1" w:id="60"/>
      <w:r>
        <w:rPr>
          <w:rFonts w:eastAsia="宋体" w:ascii="宋体"/>
        </w:rPr>
        <w:drawing>
          <wp:inline distT="0" distB="0" distL="0" distR="0">
            <wp:extent cx="5842000" cy="136702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0" cy="4101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0"/>
    </w:p>
    <w:bookmarkEnd w:id="59"/>
    <w:bookmarkStart w:name="ubb104423" w:id="6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当全球半导体陷入制程内卷，华为韬定律V2跳出固有竞争逻辑，用一套</w:t>
      </w:r>
      <w:r>
        <w:rPr>
          <w:rFonts w:ascii="宋体" w:hAnsi="Times New Roman" w:eastAsia="宋体"/>
          <w:b/>
          <w:i w:val="false"/>
          <w:color w:val="004347"/>
          <w:sz w:val="22"/>
        </w:rPr>
        <w:t>完整、可量产、适配国产产业链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的时间缩微理论，给出后摩尔时代AI算力升级最优解。</w:t>
      </w:r>
    </w:p>
    <w:bookmarkEnd w:id="61"/>
    <w:bookmarkStart w:name="ueabce494" w:id="6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更低功耗、更高算力密度、更适配复杂工业工况的底层架构，将大幅降低电力物联网、设备智能检测、企业数字化智能体的AI落地成本，推动垂直行业轻量化大模型、实时视觉感知、全平台AI内容生成技术规模化普及，为国产工业数字化转型筑牢算力根基。</w:t>
      </w:r>
    </w:p>
    <w:bookmarkEnd w:id="62"/>
    <w:bookmarkStart w:name="vizcE" w:id="63"/>
    <w:p>
      <w:pPr>
        <w:pStyle w:val="Heading3"/>
        <w:spacing w:after="50" w:line="360" w:lineRule="auto" w:beforeLines="100"/>
        <w:ind w:left="0"/>
        <w:jc w:val="left"/>
      </w:pPr>
      <w:bookmarkStart w:name="HF6a8" w:id="64"/>
      <w:r>
        <w:rPr>
          <w:rFonts w:eastAsia="宋体" w:ascii="宋体"/>
        </w:rPr>
        <w:drawing>
          <wp:inline distT="0" distB="0" distL="0" distR="0">
            <wp:extent cx="5842000" cy="161816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789334" cy="2157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4"/>
    </w:p>
    <w:bookmarkEnd w:id="63"/>
    <w:bookmarkStart w:name="u8d2b3d07" w:id="65"/>
    <w:p>
      <w:pPr>
        <w:spacing w:after="50" w:line="360" w:lineRule="auto" w:beforeLines="100"/>
        <w:ind w:left="0"/>
        <w:jc w:val="left"/>
      </w:pPr>
      <w:bookmarkStart w:name="ue00a6830" w:id="66"/>
      <w:r>
        <w:rPr>
          <w:rFonts w:eastAsia="宋体" w:ascii="宋体"/>
        </w:rPr>
        <w:drawing>
          <wp:inline distT="0" distB="0" distL="0" distR="0">
            <wp:extent cx="5842000" cy="800938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0" cy="28206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6"/>
    </w:p>
    <w:bookmarkEnd w:id="65"/>
    <w:bookmarkStart w:name="ubd68c99d" w:id="67"/>
    <w:p>
      <w:pPr>
        <w:spacing w:after="50" w:line="360" w:lineRule="auto" w:beforeLines="100"/>
        <w:ind w:left="0"/>
        <w:jc w:val="left"/>
      </w:pPr>
      <w:bookmarkStart w:name="pdHGx" w:id="68"/>
      <w:r>
        <w:rPr>
          <w:rFonts w:eastAsia="宋体" w:ascii="宋体"/>
        </w:rPr>
        <w:drawing>
          <wp:inline distT="0" distB="0" distL="0" distR="0">
            <wp:extent cx="5841999" cy="47903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872134" cy="809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8"/>
      <w:bookmarkStart w:name="ue1ac06da" w:id="69"/>
      <w:r>
        <w:rPr>
          <w:rFonts w:eastAsia="宋体" w:ascii="宋体"/>
        </w:rPr>
        <w:drawing>
          <wp:inline distT="0" distB="0" distL="0" distR="0">
            <wp:extent cx="5841999" cy="52577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0" cy="667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9"/>
      <w:bookmarkStart w:name="u8ff858a6" w:id="70"/>
      <w:r>
        <w:rPr>
          <w:rFonts w:eastAsia="宋体" w:ascii="宋体"/>
        </w:rPr>
        <w:drawing>
          <wp:inline distT="0" distB="0" distL="0" distR="0">
            <wp:extent cx="5842000" cy="131442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1106534" cy="699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0"/>
      <w:bookmarkStart w:name="u462d5edb" w:id="71"/>
      <w:r>
        <w:rPr>
          <w:rFonts w:eastAsia="宋体" w:ascii="宋体"/>
        </w:rPr>
        <w:drawing>
          <wp:inline distT="0" distB="0" distL="0" distR="0">
            <wp:extent cx="5842000" cy="131442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1106534" cy="699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1"/>
      <w:bookmarkStart w:name="uf885acdf" w:id="72"/>
      <w:r>
        <w:rPr>
          <w:rFonts w:eastAsia="宋体" w:ascii="宋体"/>
        </w:rPr>
        <w:drawing>
          <wp:inline distT="0" distB="0" distL="0" distR="0">
            <wp:extent cx="5842000" cy="131442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1106534" cy="699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2"/>
      <w:bookmarkStart w:name="ufe933551" w:id="73"/>
      <w:r>
        <w:rPr>
          <w:rFonts w:eastAsia="宋体" w:ascii="宋体"/>
        </w:rPr>
        <w:drawing>
          <wp:inline distT="0" distB="0" distL="0" distR="0">
            <wp:extent cx="5842000" cy="131442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1106534" cy="699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3"/>
    </w:p>
    <w:bookmarkEnd w:id="67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abstractNum w:abstractNumId="2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abstractNum w:abstractNumId="3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abstractNum w:abstractNumId="4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abstractNum w:abstractNumId="5">
    <w:multiLevelType w:val="multilevel"/>
    <w:lvl w:ilvl="0">
      <w:start w:val="2"/>
      <w:numFmt w:val="decimal"/>
      <w:lvlText w:val="%1."/>
      <w:lvlJc w:val="left"/>
      <w:pPr>
        <w:ind w:left="960" w:hanging="360"/>
      </w:pPr>
    </w:lvl>
  </w:abstractNum>
  <w:abstractNum w:abstractNumId="6">
    <w:multiLevelType w:val="multilevel"/>
    <w:lvl w:ilvl="0">
      <w:start w:val="3"/>
      <w:numFmt w:val="decimal"/>
      <w:lvlText w:val="%1."/>
      <w:lvlJc w:val="left"/>
      <w:pPr>
        <w:ind w:left="960" w:hanging="360"/>
      </w:pPr>
    </w:lvl>
  </w:abstractNum>
  <w:abstractNum w:abstractNumId="7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宋体" w:eastAsia="宋体"/>
      <w:b/>
      <w:bCs/>
      <w:color w:val="000000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宋体" w:eastAsia="宋体"/>
      <w:b/>
      <w:bCs/>
      <w:color w:val="000000"/>
      <w:sz w:val="3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宋体" w:eastAsia="宋体"/>
      <w:b/>
      <w:bCs/>
      <w:color w:val="000000"/>
      <w:sz w:val="3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宋体" w:eastAsia="宋体"/>
      <w:b/>
      <w:bCs/>
      <w:color w:val="000000"/>
      <w:sz w:val="30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41CD9"/>
    <w:pPr>
      <w:keepNext/>
      <w:keepLines/>
      <w:spacing w:before="200"/>
      <w:outlineLvl w:val="4"/>
    </w:pPr>
    <w:rPr>
      <w:rFonts w:ascii="宋体" w:eastAsia="宋体"/>
      <w:b/>
      <w:bCs/>
      <w:color w:val="000000"/>
      <w:sz w:val="28"/>
    </w:rPr>
  </w:style>
  <w:style w:type="paragraph" w:styleId="ne-codeblock"/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media/document_image_rId10.png" Type="http://schemas.openxmlformats.org/officeDocument/2006/relationships/image"/><Relationship Id="rId11" Target="media/document_image_rId11.png" Type="http://schemas.openxmlformats.org/officeDocument/2006/relationships/image"/><Relationship Id="rId12" Target="media/document_image_rId12.png" Type="http://schemas.openxmlformats.org/officeDocument/2006/relationships/image"/><Relationship Id="rId13" Target="media/document_image_rId13.png" Type="http://schemas.openxmlformats.org/officeDocument/2006/relationships/image"/><Relationship Id="rId14" Target="media/document_image_rId14.png" Type="http://schemas.openxmlformats.org/officeDocument/2006/relationships/image"/><Relationship Id="rId15" Target="media/document_image_rId15.png" Type="http://schemas.openxmlformats.org/officeDocument/2006/relationships/image"/><Relationship Id="rId16" Target="media/document_image_rId16.png" Type="http://schemas.openxmlformats.org/officeDocument/2006/relationships/image"/><Relationship Id="rId17" Target="media/document_image_rId17.png" Type="http://schemas.openxmlformats.org/officeDocument/2006/relationships/image"/><Relationship Id="rId18" Target="media/document_image_rId18.png" Type="http://schemas.openxmlformats.org/officeDocument/2006/relationships/image"/><Relationship Id="rId19" Target="media/document_image_rId19.png" Type="http://schemas.openxmlformats.org/officeDocument/2006/relationships/image"/><Relationship Id="rId2" Target="settings.xml" Type="http://schemas.openxmlformats.org/officeDocument/2006/relationships/settings"/><Relationship Id="rId20" Target="media/document_image_rId20.png" Type="http://schemas.openxmlformats.org/officeDocument/2006/relationships/image"/><Relationship Id="rId21" Target="media/document_image_rId21.png" Type="http://schemas.openxmlformats.org/officeDocument/2006/relationships/image"/><Relationship Id="rId22" Target="media/document_image_rId22.png" Type="http://schemas.openxmlformats.org/officeDocument/2006/relationships/image"/><Relationship Id="rId23" Target="media/document_image_rId23.png" Type="http://schemas.openxmlformats.org/officeDocument/2006/relationships/image"/><Relationship Id="rId24" Target="media/document_image_rId24.png" Type="http://schemas.openxmlformats.org/officeDocument/2006/relationships/image"/><Relationship Id="rId25" Target="media/document_image_rId25.png" Type="http://schemas.openxmlformats.org/officeDocument/2006/relationships/image"/><Relationship Id="rId3" Target="numbering.xml" Type="http://schemas.openxmlformats.org/officeDocument/2006/relationships/numbering"/><Relationship Id="rId4" Target="media/document_image_rId4.png" Type="http://schemas.openxmlformats.org/officeDocument/2006/relationships/image"/><Relationship Id="rId5" Target="media/document_image_rId5.png" Type="http://schemas.openxmlformats.org/officeDocument/2006/relationships/image"/><Relationship Id="rId6" Target="media/document_image_rId6.png" Type="http://schemas.openxmlformats.org/officeDocument/2006/relationships/image"/><Relationship Id="rId7" Target="media/document_image_rId7.png" Type="http://schemas.openxmlformats.org/officeDocument/2006/relationships/image"/><Relationship Id="rId8" Target="media/document_image_rId8.png" Type="http://schemas.openxmlformats.org/officeDocument/2006/relationships/image"/><Relationship Id="rId9" Target="media/document_image_rId9.png" Type="http://schemas.openxmlformats.org/officeDocument/2006/relationships/image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