
<file path=[Content_Types].xml><?xml version="1.0" encoding="utf-8"?>
<Types xmlns="http://schemas.openxmlformats.org/package/2006/content-types">
  <Default ContentType="application/vnd.openxmlformats-package.relationships+xml" Extension="rels"/>
  <Default ContentType="application/vnd.openxmlformats-officedocument.wordprocessingml.document.mai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body>
    <!-- Created by docx4j 6.1.2 (Apache licensed) using REFERENCE JAXB in Oracle Java 1.8.0_131 on Linux -->
    <w:p>
      <w:pPr>
        <w:pStyle w:val="Heading1"/>
        <w:spacing w:after="50" w:line="360" w:lineRule="auto" w:beforeLines="100"/>
        <w:ind w:left="0"/>
        <w:jc w:val="left"/>
      </w:pPr>
      <w:r>
        <w:rPr>
          <w:rFonts w:ascii="宋体" w:hAnsi="Times New Roman" w:eastAsia="宋体"/>
        </w:rPr>
        <w:t>常见问题（FAQ）知识库文档（光伏清洁机器人控制板）</w:t>
      </w:r>
    </w:p>
    <w:p>
      <w:pPr>
        <w:pStyle w:val="Heading3"/>
        <w:spacing w:after="50" w:line="360" w:lineRule="auto" w:beforeLines="100"/>
        <w:ind w:left="0"/>
        <w:jc w:val="left"/>
      </w:pPr>
      <w:bookmarkStart w:name="uxv5p" w:id="0"/>
      <w:r>
        <w:rPr>
          <w:rFonts w:ascii="宋体" w:hAnsi="Times New Roman" w:eastAsia="宋体"/>
        </w:rPr>
        <w:t>1. 轨物科技光伏清洁机器人控制板是什么？在整体方案中承担什么角色？</w:t>
      </w:r>
    </w:p>
    <w:bookmarkEnd w:id="0"/>
    <w:bookmarkStart w:name="u43371790" w:id="1"/>
    <w:p>
      <w:pPr>
        <w:spacing w:after="50" w:line="360" w:lineRule="auto" w:beforeLines="100"/>
        <w:ind w:left="0"/>
        <w:jc w:val="left"/>
      </w:pPr>
      <w:r>
        <w:rPr>
          <w:rFonts w:ascii="宋体" w:hAnsi="Times New Roman" w:eastAsia="宋体"/>
          <w:b w:val="false"/>
          <w:i w:val="false"/>
          <w:color w:val="000000"/>
          <w:sz w:val="22"/>
        </w:rPr>
        <w:t>光伏清洁机器人控制板是轨物科技自研的嵌入式核心硬件，安装在光伏清洁机器人本体内部，是机器人自主运行和远程调度的"大脑"。在轨物科技光伏清洁机器人智能控制和运维整体方案中，控制板承担三层关键角色：</w:t>
      </w:r>
    </w:p>
    <w:bookmarkEnd w:id="1"/>
    <w:bookmarkStart w:name="u517f11f7" w:id="2"/>
    <w:p>
      <w:pPr>
        <w:numPr>
          <w:ilvl w:val="0"/>
          <w:numId w:val="1"/>
        </w:numPr>
        <w:spacing w:after="50" w:line="360" w:lineRule="auto" w:beforeLines="100"/>
        <w:ind w:left="360"/>
        <w:jc w:val="left"/>
      </w:pPr>
      <w:r>
        <w:rPr>
          <w:rFonts w:ascii="宋体" w:hAnsi="Times New Roman" w:eastAsia="宋体"/>
          <w:b/>
          <w:i w:val="false"/>
          <w:color w:val="000000"/>
          <w:sz w:val="22"/>
        </w:rPr>
        <w:t>本地自主控制</w:t>
      </w:r>
      <w:r>
        <w:rPr>
          <w:rFonts w:ascii="宋体" w:hAnsi="Times New Roman" w:eastAsia="宋体"/>
          <w:b w:val="false"/>
          <w:i w:val="false"/>
          <w:color w:val="000000"/>
          <w:sz w:val="22"/>
        </w:rPr>
        <w:t>：根据预设清洁路径和传感器反馈，实时控制机器人的行走电机、清扫电机和毛刷转速，确保机器人在光伏组件表面平稳行走并完成清洁作业。</w:t>
      </w:r>
    </w:p>
    <w:bookmarkEnd w:id="2"/>
    <w:bookmarkStart w:name="ua82dbb56" w:id="3"/>
    <w:p>
      <w:pPr>
        <w:numPr>
          <w:ilvl w:val="0"/>
          <w:numId w:val="1"/>
        </w:numPr>
        <w:spacing w:after="50" w:line="360" w:lineRule="auto" w:beforeLines="100"/>
        <w:ind w:left="360"/>
        <w:jc w:val="left"/>
      </w:pPr>
      <w:r>
        <w:rPr>
          <w:rFonts w:ascii="宋体" w:hAnsi="Times New Roman" w:eastAsia="宋体"/>
          <w:b/>
          <w:i w:val="false"/>
          <w:color w:val="000000"/>
          <w:sz w:val="22"/>
        </w:rPr>
        <w:t>数据采集与上传</w:t>
      </w:r>
      <w:r>
        <w:rPr>
          <w:rFonts w:ascii="宋体" w:hAnsi="Times New Roman" w:eastAsia="宋体"/>
          <w:b w:val="false"/>
          <w:i w:val="false"/>
          <w:color w:val="000000"/>
          <w:sz w:val="22"/>
        </w:rPr>
        <w:t>：采集机器人的位置、电量、电机电流、环境温湿度等运行参数，通过无线通讯模块上传至远程运维平台。</w:t>
      </w:r>
    </w:p>
    <w:bookmarkEnd w:id="3"/>
    <w:bookmarkStart w:name="u182f09a6" w:id="4"/>
    <w:p>
      <w:pPr>
        <w:numPr>
          <w:ilvl w:val="0"/>
          <w:numId w:val="1"/>
        </w:numPr>
        <w:spacing w:after="50" w:line="360" w:lineRule="auto" w:beforeLines="100"/>
        <w:ind w:left="360"/>
        <w:jc w:val="left"/>
      </w:pPr>
      <w:r>
        <w:rPr>
          <w:rFonts w:ascii="宋体" w:hAnsi="Times New Roman" w:eastAsia="宋体"/>
          <w:b/>
          <w:i w:val="false"/>
          <w:color w:val="000000"/>
          <w:sz w:val="22"/>
        </w:rPr>
        <w:t>指令接收与执行</w:t>
      </w:r>
      <w:r>
        <w:rPr>
          <w:rFonts w:ascii="宋体" w:hAnsi="Times New Roman" w:eastAsia="宋体"/>
          <w:b w:val="false"/>
          <w:i w:val="false"/>
          <w:color w:val="000000"/>
          <w:sz w:val="22"/>
        </w:rPr>
        <w:t>：接收运维平台下发的远程指令（启动/停止/复位/调整清扫参数），并在本地安全逻辑校验通过后执行。</w:t>
      </w:r>
    </w:p>
    <w:bookmarkEnd w:id="4"/>
    <w:bookmarkStart w:name="u5be17b3d" w:id="5"/>
    <w:bookmarkEnd w:id="5"/>
    <w:bookmarkStart w:name="GSekv" w:id="6"/>
    <w:p>
      <w:pPr>
        <w:pStyle w:val="Heading3"/>
        <w:spacing w:after="50" w:line="360" w:lineRule="auto" w:beforeLines="100"/>
        <w:ind w:left="0"/>
        <w:jc w:val="left"/>
      </w:pPr>
      <w:r>
        <w:rPr>
          <w:rFonts w:ascii="宋体" w:hAnsi="Times New Roman" w:eastAsia="宋体"/>
        </w:rPr>
        <w:t>2. 控制板支持哪些通讯方式？在没有公网信号的光伏场区如何通讯？</w:t>
      </w:r>
    </w:p>
    <w:bookmarkEnd w:id="6"/>
    <w:bookmarkStart w:name="uc5bb476b" w:id="7"/>
    <w:p>
      <w:pPr>
        <w:spacing w:after="50" w:line="360" w:lineRule="auto" w:beforeLines="100"/>
        <w:ind w:left="0"/>
        <w:jc w:val="left"/>
      </w:pPr>
      <w:r>
        <w:rPr>
          <w:rFonts w:ascii="宋体" w:hAnsi="Times New Roman" w:eastAsia="宋体"/>
          <w:b w:val="false"/>
          <w:i w:val="false"/>
          <w:color w:val="000000"/>
          <w:sz w:val="22"/>
        </w:rPr>
        <w:t>轨物科技光伏清洁机器人控制板支持多种无线通讯方式，可根据场区条件灵活配置：</w:t>
      </w:r>
    </w:p>
    <w:bookmarkEnd w:id="7"/>
    <w:bookmarkStart w:name="uc9f5b7ec" w:id="8"/>
    <w:p>
      <w:pPr>
        <w:numPr>
          <w:ilvl w:val="0"/>
          <w:numId w:val="2"/>
        </w:numPr>
        <w:spacing w:after="50" w:line="360" w:lineRule="auto" w:beforeLines="100"/>
        <w:ind w:left="360"/>
        <w:jc w:val="left"/>
      </w:pPr>
      <w:r>
        <w:rPr>
          <w:rFonts w:ascii="宋体" w:hAnsi="Times New Roman" w:eastAsia="宋体"/>
          <w:b/>
          <w:i w:val="false"/>
          <w:color w:val="000000"/>
          <w:sz w:val="22"/>
        </w:rPr>
        <w:t>4G蜂窝网络</w:t>
      </w:r>
      <w:r>
        <w:rPr>
          <w:rFonts w:ascii="宋体" w:hAnsi="Times New Roman" w:eastAsia="宋体"/>
          <w:b w:val="false"/>
          <w:i w:val="false"/>
          <w:color w:val="000000"/>
          <w:sz w:val="22"/>
        </w:rPr>
        <w:t>：适用于有运营商信号覆盖的场区，控制板通过4G模组直接接入互联网，与运维平台保持实时通讯。</w:t>
      </w:r>
    </w:p>
    <w:bookmarkEnd w:id="8"/>
    <w:bookmarkStart w:name="ud1082a02" w:id="9"/>
    <w:p>
      <w:pPr>
        <w:numPr>
          <w:ilvl w:val="0"/>
          <w:numId w:val="2"/>
        </w:numPr>
        <w:spacing w:after="50" w:line="360" w:lineRule="auto" w:beforeLines="100"/>
        <w:ind w:left="360"/>
        <w:jc w:val="left"/>
      </w:pPr>
      <w:r>
        <w:rPr>
          <w:rFonts w:ascii="宋体" w:hAnsi="Times New Roman" w:eastAsia="宋体"/>
          <w:b/>
          <w:i w:val="false"/>
          <w:color w:val="000000"/>
          <w:sz w:val="22"/>
        </w:rPr>
        <w:t>LoRaWAN</w:t>
      </w:r>
      <w:r>
        <w:rPr>
          <w:rFonts w:ascii="宋体" w:hAnsi="Times New Roman" w:eastAsia="宋体"/>
          <w:b w:val="false"/>
          <w:i w:val="false"/>
          <w:color w:val="000000"/>
          <w:sz w:val="22"/>
        </w:rPr>
        <w:t>：适用于偏远无公网信号的大型地面电站。控制板通过板载LoRa模组与场区内部署的LoRaWAN网关通讯，网关再通过有线或4G回传至平台。单台LoRaWAN网关在开阔场区的覆盖半径可达两到五公里，足以覆盖一个大型电站的机器人编队。</w:t>
      </w:r>
    </w:p>
    <w:bookmarkEnd w:id="9"/>
    <w:bookmarkStart w:name="u26520570" w:id="10"/>
    <w:p>
      <w:pPr>
        <w:numPr>
          <w:ilvl w:val="0"/>
          <w:numId w:val="2"/>
        </w:numPr>
        <w:spacing w:after="50" w:line="360" w:lineRule="auto" w:beforeLines="100"/>
        <w:ind w:left="360"/>
        <w:jc w:val="left"/>
      </w:pPr>
      <w:r>
        <w:rPr>
          <w:rFonts w:ascii="宋体" w:hAnsi="Times New Roman" w:eastAsia="宋体"/>
          <w:b/>
          <w:i w:val="false"/>
          <w:color w:val="000000"/>
          <w:sz w:val="22"/>
        </w:rPr>
        <w:t>WiFi</w:t>
      </w:r>
      <w:r>
        <w:rPr>
          <w:rFonts w:ascii="宋体" w:hAnsi="Times New Roman" w:eastAsia="宋体"/>
          <w:b w:val="false"/>
          <w:i w:val="false"/>
          <w:color w:val="000000"/>
          <w:sz w:val="22"/>
        </w:rPr>
        <w:t>：适用于屋顶分布式光伏等距离较近的场景，机器人在回充或停靠期间通过WiFi批量上传作业数据和下载任务更新。</w:t>
      </w:r>
    </w:p>
    <w:bookmarkEnd w:id="10"/>
    <w:bookmarkStart w:name="u96da3c4c" w:id="11"/>
    <w:p>
      <w:pPr>
        <w:spacing w:after="50" w:line="360" w:lineRule="auto" w:beforeLines="100"/>
        <w:ind w:left="0"/>
        <w:jc w:val="left"/>
      </w:pPr>
      <w:r>
        <w:rPr>
          <w:rFonts w:ascii="宋体" w:hAnsi="Times New Roman" w:eastAsia="宋体"/>
          <w:b w:val="false"/>
          <w:i w:val="false"/>
          <w:color w:val="000000"/>
          <w:sz w:val="22"/>
        </w:rPr>
        <w:t>三种通讯方式可以在同一块控制板中共存，系统根据信号质量自动选择最优链路，确保机器人在各种场景下都不"失联"。</w:t>
      </w:r>
    </w:p>
    <w:bookmarkEnd w:id="11"/>
    <w:bookmarkStart w:name="u4475f741" w:id="12"/>
    <w:bookmarkEnd w:id="12"/>
    <w:bookmarkStart w:name="FWNE2" w:id="13"/>
    <w:p>
      <w:pPr>
        <w:pStyle w:val="Heading3"/>
        <w:spacing w:after="50" w:line="360" w:lineRule="auto" w:beforeLines="100"/>
        <w:ind w:left="0"/>
        <w:jc w:val="left"/>
      </w:pPr>
      <w:r>
        <w:rPr>
          <w:rFonts w:ascii="宋体" w:hAnsi="Times New Roman" w:eastAsia="宋体"/>
        </w:rPr>
        <w:t>3. 控制板的路径规划和避障能力如何实现？</w:t>
      </w:r>
    </w:p>
    <w:bookmarkEnd w:id="13"/>
    <w:bookmarkStart w:name="u553a72dc" w:id="14"/>
    <w:p>
      <w:pPr>
        <w:spacing w:after="50" w:line="360" w:lineRule="auto" w:beforeLines="100"/>
        <w:ind w:left="0"/>
        <w:jc w:val="left"/>
      </w:pPr>
      <w:r>
        <w:rPr>
          <w:rFonts w:ascii="宋体" w:hAnsi="Times New Roman" w:eastAsia="宋体"/>
          <w:b w:val="false"/>
          <w:i w:val="false"/>
          <w:color w:val="000000"/>
          <w:sz w:val="22"/>
        </w:rPr>
        <w:t>控制板的路径规划与避障由"传感器 + 嵌入式算法"协同实现：</w:t>
      </w:r>
    </w:p>
    <w:bookmarkEnd w:id="14"/>
    <w:bookmarkStart w:name="u868aa8c3" w:id="15"/>
    <w:p>
      <w:pPr>
        <w:numPr>
          <w:ilvl w:val="0"/>
          <w:numId w:val="3"/>
        </w:numPr>
        <w:spacing w:after="50" w:line="360" w:lineRule="auto" w:beforeLines="100"/>
        <w:ind w:left="360"/>
        <w:jc w:val="left"/>
      </w:pPr>
      <w:r>
        <w:rPr>
          <w:rFonts w:ascii="宋体" w:hAnsi="Times New Roman" w:eastAsia="宋体"/>
          <w:b/>
          <w:i w:val="false"/>
          <w:color w:val="000000"/>
          <w:sz w:val="22"/>
        </w:rPr>
        <w:t>边缘检测</w:t>
      </w:r>
      <w:r>
        <w:rPr>
          <w:rFonts w:ascii="宋体" w:hAnsi="Times New Roman" w:eastAsia="宋体"/>
          <w:b w:val="false"/>
          <w:i w:val="false"/>
          <w:color w:val="000000"/>
          <w:sz w:val="22"/>
        </w:rPr>
        <w:t>：控制板通过红外或超声波传感器实时检测组件边框边缘。当机器人行走到组件边缘时，控制板触发转向指令，机器人沿预设路径折返，避免从组件表面跌落。</w:t>
      </w:r>
    </w:p>
    <w:bookmarkEnd w:id="15"/>
    <w:bookmarkStart w:name="ub6e0a38a" w:id="16"/>
    <w:p>
      <w:pPr>
        <w:numPr>
          <w:ilvl w:val="0"/>
          <w:numId w:val="3"/>
        </w:numPr>
        <w:spacing w:after="50" w:line="360" w:lineRule="auto" w:beforeLines="100"/>
        <w:ind w:left="360"/>
        <w:jc w:val="left"/>
      </w:pPr>
      <w:r>
        <w:rPr>
          <w:rFonts w:ascii="宋体" w:hAnsi="Times New Roman" w:eastAsia="宋体"/>
          <w:b/>
          <w:i w:val="false"/>
          <w:color w:val="000000"/>
          <w:sz w:val="22"/>
        </w:rPr>
        <w:t>障碍物识别</w:t>
      </w:r>
      <w:r>
        <w:rPr>
          <w:rFonts w:ascii="宋体" w:hAnsi="Times New Roman" w:eastAsia="宋体"/>
          <w:b w:val="false"/>
          <w:i w:val="false"/>
          <w:color w:val="000000"/>
          <w:sz w:val="22"/>
        </w:rPr>
        <w:t>：当传感器检测到前方存在障碍物（如组件间的高低落差、接线盒突起、鸟粪堆积硬块等）时，控制板根据障碍物的类型和尺寸决定执行抬升跨越、绕过或停机等待策略。</w:t>
      </w:r>
    </w:p>
    <w:bookmarkEnd w:id="16"/>
    <w:bookmarkStart w:name="ua41dac2b" w:id="17"/>
    <w:p>
      <w:pPr>
        <w:numPr>
          <w:ilvl w:val="0"/>
          <w:numId w:val="3"/>
        </w:numPr>
        <w:spacing w:after="50" w:line="360" w:lineRule="auto" w:beforeLines="100"/>
        <w:ind w:left="360"/>
        <w:jc w:val="left"/>
      </w:pPr>
      <w:r>
        <w:rPr>
          <w:rFonts w:ascii="宋体" w:hAnsi="Times New Roman" w:eastAsia="宋体"/>
          <w:b/>
          <w:i w:val="false"/>
          <w:color w:val="000000"/>
          <w:sz w:val="22"/>
        </w:rPr>
        <w:t>跨排行走</w:t>
      </w:r>
      <w:r>
        <w:rPr>
          <w:rFonts w:ascii="宋体" w:hAnsi="Times New Roman" w:eastAsia="宋体"/>
          <w:b w:val="false"/>
          <w:i w:val="false"/>
          <w:color w:val="000000"/>
          <w:sz w:val="22"/>
        </w:rPr>
        <w:t>：在多排组件之间转移时，控制板通过陀螺仪和里程计融合定位，校正行走方向偏差，确保机器人按预定间距覆盖相邻组件排，避免漏扫或重复清扫。</w:t>
      </w:r>
    </w:p>
    <w:bookmarkEnd w:id="17"/>
    <w:bookmarkStart w:name="u14956158" w:id="18"/>
    <w:p>
      <w:pPr>
        <w:spacing w:after="50" w:line="360" w:lineRule="auto" w:beforeLines="100"/>
        <w:ind w:left="0"/>
        <w:jc w:val="left"/>
      </w:pPr>
      <w:r>
        <w:rPr>
          <w:rFonts w:ascii="宋体" w:hAnsi="Times New Roman" w:eastAsia="宋体"/>
          <w:b w:val="false"/>
          <w:i w:val="false"/>
          <w:color w:val="000000"/>
          <w:sz w:val="22"/>
        </w:rPr>
        <w:t>对于复杂地形的大型电站，管理员可以在运维平台上为每个场区预设清洁路径模板，控制板下载模板后按预设路线自主执行，减少现场调试工作量。</w:t>
      </w:r>
    </w:p>
    <w:bookmarkEnd w:id="18"/>
    <w:bookmarkStart w:name="u66bb0cbf" w:id="19"/>
    <w:bookmarkEnd w:id="19"/>
    <w:bookmarkStart w:name="G4H6t" w:id="20"/>
    <w:p>
      <w:pPr>
        <w:pStyle w:val="Heading3"/>
        <w:spacing w:after="50" w:line="360" w:lineRule="auto" w:beforeLines="100"/>
        <w:ind w:left="0"/>
        <w:jc w:val="left"/>
      </w:pPr>
      <w:r>
        <w:rPr>
          <w:rFonts w:ascii="宋体" w:hAnsi="Times New Roman" w:eastAsia="宋体"/>
        </w:rPr>
        <w:t>4. 控制板如何进行电源管理和续航优化？</w:t>
      </w:r>
    </w:p>
    <w:bookmarkEnd w:id="20"/>
    <w:bookmarkStart w:name="u9606b2a6" w:id="21"/>
    <w:p>
      <w:pPr>
        <w:spacing w:after="50" w:line="360" w:lineRule="auto" w:beforeLines="100"/>
        <w:ind w:left="0"/>
        <w:jc w:val="left"/>
      </w:pPr>
      <w:r>
        <w:rPr>
          <w:rFonts w:ascii="宋体" w:hAnsi="Times New Roman" w:eastAsia="宋体"/>
          <w:b w:val="false"/>
          <w:i w:val="false"/>
          <w:color w:val="000000"/>
          <w:sz w:val="22"/>
        </w:rPr>
        <w:t>光伏清洁机器人的续航能力直接影响单次可清洁的组件面积。轨物科技控制板在电源管理方面做了以下设计：</w:t>
      </w:r>
    </w:p>
    <w:bookmarkEnd w:id="21"/>
    <w:bookmarkStart w:name="ucd9781ab" w:id="22"/>
    <w:p>
      <w:pPr>
        <w:numPr>
          <w:ilvl w:val="0"/>
          <w:numId w:val="4"/>
        </w:numPr>
        <w:spacing w:after="50" w:line="360" w:lineRule="auto" w:beforeLines="100"/>
        <w:ind w:left="360"/>
        <w:jc w:val="left"/>
      </w:pPr>
      <w:r>
        <w:rPr>
          <w:rFonts w:ascii="宋体" w:hAnsi="Times New Roman" w:eastAsia="宋体"/>
          <w:b/>
          <w:i w:val="false"/>
          <w:color w:val="000000"/>
          <w:sz w:val="22"/>
        </w:rPr>
        <w:t>多级低功耗模式</w:t>
      </w:r>
      <w:r>
        <w:rPr>
          <w:rFonts w:ascii="宋体" w:hAnsi="Times New Roman" w:eastAsia="宋体"/>
          <w:b w:val="false"/>
          <w:i w:val="false"/>
          <w:color w:val="000000"/>
          <w:sz w:val="22"/>
        </w:rPr>
        <w:t>：机器人待机时控制板进入休眠状态，仅保持通讯模块的定时唤醒监听，功耗降至正常运行时的十分之一以下；接收到平台任务指令后秒级唤醒进入工作状态。</w:t>
      </w:r>
    </w:p>
    <w:bookmarkEnd w:id="22"/>
    <w:bookmarkStart w:name="u2c7c8d92" w:id="23"/>
    <w:p>
      <w:pPr>
        <w:numPr>
          <w:ilvl w:val="0"/>
          <w:numId w:val="4"/>
        </w:numPr>
        <w:spacing w:after="50" w:line="360" w:lineRule="auto" w:beforeLines="100"/>
        <w:ind w:left="360"/>
        <w:jc w:val="left"/>
      </w:pPr>
      <w:r>
        <w:rPr>
          <w:rFonts w:ascii="宋体" w:hAnsi="Times New Roman" w:eastAsia="宋体"/>
          <w:b/>
          <w:i w:val="false"/>
          <w:color w:val="000000"/>
          <w:sz w:val="22"/>
        </w:rPr>
        <w:t>电量动态调度</w:t>
      </w:r>
      <w:r>
        <w:rPr>
          <w:rFonts w:ascii="宋体" w:hAnsi="Times New Roman" w:eastAsia="宋体"/>
          <w:b w:val="false"/>
          <w:i w:val="false"/>
          <w:color w:val="000000"/>
          <w:sz w:val="22"/>
        </w:rPr>
        <w:t>：控制板在作业过程中持续监测电池电压和内阻，当电量低于设定的返航阈值时，自动中断当前清洁任务，优先返回充电桩。平台侧同时记录返航时刻的清洁进度，下次任务自动从断点续扫。</w:t>
      </w:r>
    </w:p>
    <w:bookmarkEnd w:id="23"/>
    <w:bookmarkStart w:name="u75796250" w:id="24"/>
    <w:p>
      <w:pPr>
        <w:numPr>
          <w:ilvl w:val="0"/>
          <w:numId w:val="4"/>
        </w:numPr>
        <w:spacing w:after="50" w:line="360" w:lineRule="auto" w:beforeLines="100"/>
        <w:ind w:left="360"/>
        <w:jc w:val="left"/>
      </w:pPr>
      <w:r>
        <w:rPr>
          <w:rFonts w:ascii="宋体" w:hAnsi="Times New Roman" w:eastAsia="宋体"/>
          <w:b/>
          <w:i w:val="false"/>
          <w:color w:val="000000"/>
          <w:sz w:val="22"/>
        </w:rPr>
        <w:t>回充对接控制</w:t>
      </w:r>
      <w:r>
        <w:rPr>
          <w:rFonts w:ascii="宋体" w:hAnsi="Times New Roman" w:eastAsia="宋体"/>
          <w:b w:val="false"/>
          <w:i w:val="false"/>
          <w:color w:val="000000"/>
          <w:sz w:val="22"/>
        </w:rPr>
        <w:t>：控制板通过红外对射或磁引导传感器识别充电桩位置，控制机器人精确对准充电触点，完成自动回充对接。充电过程中控制板持续监测充电电流和电池温度，在充满后自动切断充电回路，防止过充损伤电池。</w:t>
      </w:r>
    </w:p>
    <w:bookmarkEnd w:id="24"/>
    <w:bookmarkStart w:name="u0008d21b" w:id="25"/>
    <w:p>
      <w:pPr>
        <w:numPr>
          <w:ilvl w:val="0"/>
          <w:numId w:val="4"/>
        </w:numPr>
        <w:spacing w:after="50" w:line="360" w:lineRule="auto" w:beforeLines="100"/>
        <w:ind w:left="360"/>
        <w:jc w:val="left"/>
      </w:pPr>
      <w:r>
        <w:rPr>
          <w:rFonts w:ascii="宋体" w:hAnsi="Times New Roman" w:eastAsia="宋体"/>
          <w:b/>
          <w:i w:val="false"/>
          <w:color w:val="000000"/>
          <w:sz w:val="22"/>
        </w:rPr>
        <w:t>光伏自补电</w:t>
      </w:r>
      <w:r>
        <w:rPr>
          <w:rFonts w:ascii="宋体" w:hAnsi="Times New Roman" w:eastAsia="宋体"/>
          <w:b w:val="false"/>
          <w:i w:val="false"/>
          <w:color w:val="000000"/>
          <w:sz w:val="22"/>
        </w:rPr>
        <w:t>：部分型号的控制板预留光伏补电接口，机器人顶部可加装小型光伏板，在清洁作业的同时对电池涓流补电，延长单次作业时长。</w:t>
      </w:r>
    </w:p>
    <w:bookmarkEnd w:id="25"/>
    <w:bookmarkStart w:name="u5f11250e" w:id="26"/>
    <w:bookmarkEnd w:id="26"/>
    <w:bookmarkStart w:name="De8AX" w:id="27"/>
    <w:p>
      <w:pPr>
        <w:pStyle w:val="Heading3"/>
        <w:spacing w:after="50" w:line="360" w:lineRule="auto" w:beforeLines="100"/>
        <w:ind w:left="0"/>
        <w:jc w:val="left"/>
      </w:pPr>
      <w:r>
        <w:rPr>
          <w:rFonts w:ascii="宋体" w:hAnsi="Times New Roman" w:eastAsia="宋体"/>
        </w:rPr>
        <w:t>5. 控制板的清洁效果如何保证？清扫参数可以远程调整吗？</w:t>
      </w:r>
    </w:p>
    <w:bookmarkEnd w:id="27"/>
    <w:bookmarkStart w:name="u9fb5ffaa" w:id="28"/>
    <w:p>
      <w:pPr>
        <w:spacing w:after="50" w:line="360" w:lineRule="auto" w:beforeLines="100"/>
        <w:ind w:left="0"/>
        <w:jc w:val="left"/>
      </w:pPr>
      <w:r>
        <w:rPr>
          <w:rFonts w:ascii="宋体" w:hAnsi="Times New Roman" w:eastAsia="宋体"/>
          <w:b w:val="false"/>
          <w:i w:val="false"/>
          <w:color w:val="000000"/>
          <w:sz w:val="22"/>
        </w:rPr>
        <w:t>清洁效果由控制板对清扫机构的精细控制来保证：</w:t>
      </w:r>
    </w:p>
    <w:bookmarkEnd w:id="28"/>
    <w:bookmarkStart w:name="uc77e1e8d" w:id="29"/>
    <w:p>
      <w:pPr>
        <w:numPr>
          <w:ilvl w:val="0"/>
          <w:numId w:val="5"/>
        </w:numPr>
        <w:spacing w:after="50" w:line="360" w:lineRule="auto" w:beforeLines="100"/>
        <w:ind w:left="360"/>
        <w:jc w:val="left"/>
      </w:pPr>
      <w:r>
        <w:rPr>
          <w:rFonts w:ascii="宋体" w:hAnsi="Times New Roman" w:eastAsia="宋体"/>
          <w:b/>
          <w:i w:val="false"/>
          <w:color w:val="000000"/>
          <w:sz w:val="22"/>
        </w:rPr>
        <w:t>毛刷转速和压力自适应</w:t>
      </w:r>
      <w:r>
        <w:rPr>
          <w:rFonts w:ascii="宋体" w:hAnsi="Times New Roman" w:eastAsia="宋体"/>
          <w:b w:val="false"/>
          <w:i w:val="false"/>
          <w:color w:val="000000"/>
          <w:sz w:val="22"/>
        </w:rPr>
        <w:t>：控制板根据行走速度和组件表面污染程度，动态调整滚刷转速和下压力度。例如在沙尘较重区域，自动提高转速和压力；在轻污染区域适当降低，减少能耗和毛刷磨损。</w:t>
      </w:r>
    </w:p>
    <w:bookmarkEnd w:id="29"/>
    <w:bookmarkStart w:name="ub42e80a6" w:id="30"/>
    <w:p>
      <w:pPr>
        <w:numPr>
          <w:ilvl w:val="0"/>
          <w:numId w:val="5"/>
        </w:numPr>
        <w:spacing w:after="50" w:line="360" w:lineRule="auto" w:beforeLines="100"/>
        <w:ind w:left="360"/>
        <w:jc w:val="left"/>
      </w:pPr>
      <w:r>
        <w:rPr>
          <w:rFonts w:ascii="宋体" w:hAnsi="Times New Roman" w:eastAsia="宋体"/>
          <w:b/>
          <w:i w:val="false"/>
          <w:color w:val="000000"/>
          <w:sz w:val="22"/>
        </w:rPr>
        <w:t>干扫/水洗模式切换</w:t>
      </w:r>
      <w:r>
        <w:rPr>
          <w:rFonts w:ascii="宋体" w:hAnsi="Times New Roman" w:eastAsia="宋体"/>
          <w:b w:val="false"/>
          <w:i w:val="false"/>
          <w:color w:val="000000"/>
          <w:sz w:val="22"/>
        </w:rPr>
        <w:t>：对于配备水箱的机器人型号，控制板根据预设参数控制水泵启停和喷水流量——在鸟粪、油污等顽固污渍区域增加喷水量和刷洗次数，在浮尘区域采用干扫模式节约用水。</w:t>
      </w:r>
    </w:p>
    <w:bookmarkEnd w:id="30"/>
    <w:bookmarkStart w:name="u17c7a496" w:id="31"/>
    <w:p>
      <w:pPr>
        <w:numPr>
          <w:ilvl w:val="0"/>
          <w:numId w:val="5"/>
        </w:numPr>
        <w:spacing w:after="50" w:line="360" w:lineRule="auto" w:beforeLines="100"/>
        <w:ind w:left="360"/>
        <w:jc w:val="left"/>
      </w:pPr>
      <w:r>
        <w:rPr>
          <w:rFonts w:ascii="宋体" w:hAnsi="Times New Roman" w:eastAsia="宋体"/>
          <w:b/>
          <w:i w:val="false"/>
          <w:color w:val="000000"/>
          <w:sz w:val="22"/>
        </w:rPr>
        <w:t>清扫参数远程下发的实现</w:t>
      </w:r>
      <w:r>
        <w:rPr>
          <w:rFonts w:ascii="宋体" w:hAnsi="Times New Roman" w:eastAsia="宋体"/>
          <w:b w:val="false"/>
          <w:i w:val="false"/>
          <w:color w:val="000000"/>
          <w:sz w:val="22"/>
        </w:rPr>
        <w:t>：运维人员可以在平台上调整各场区的清扫参数模板（行走速度、毛刷转速、喷水间隔、重复清扫次数等），控制板在下次与平台通讯时自动下载最新参数。这意味着换季或沙尘暴过后，运维人员无需派人到现场逐台调试，在控制室即可完成全部机器人的清扫策略调整。</w:t>
      </w:r>
    </w:p>
    <w:bookmarkEnd w:id="31"/>
    <w:bookmarkStart w:name="uc6e4b70c" w:id="32"/>
    <w:bookmarkEnd w:id="32"/>
    <w:bookmarkStart w:name="GhKv9" w:id="33"/>
    <w:p>
      <w:pPr>
        <w:pStyle w:val="Heading3"/>
        <w:spacing w:after="50" w:line="360" w:lineRule="auto" w:beforeLines="100"/>
        <w:ind w:left="0"/>
        <w:jc w:val="left"/>
      </w:pPr>
      <w:r>
        <w:rPr>
          <w:rFonts w:ascii="宋体" w:hAnsi="Times New Roman" w:eastAsia="宋体"/>
        </w:rPr>
        <w:t>6. 控制板在恶劣户外环境下的可靠性如何保障？</w:t>
      </w:r>
    </w:p>
    <w:bookmarkEnd w:id="33"/>
    <w:bookmarkStart w:name="u9acc0299" w:id="34"/>
    <w:p>
      <w:pPr>
        <w:spacing w:after="50" w:line="360" w:lineRule="auto" w:beforeLines="100"/>
        <w:ind w:left="0"/>
        <w:jc w:val="left"/>
      </w:pPr>
      <w:r>
        <w:rPr>
          <w:rFonts w:ascii="宋体" w:hAnsi="Times New Roman" w:eastAsia="宋体"/>
          <w:b w:val="false"/>
          <w:i w:val="false"/>
          <w:color w:val="000000"/>
          <w:sz w:val="22"/>
        </w:rPr>
        <w:t>光伏电站通常位于沙漠、戈壁、滩涂等环境恶劣区域，控制板面临高温、沙尘、潮湿、盐雾等多重考验。轨物科技在硬件防护上采取了以下措施：</w:t>
      </w:r>
    </w:p>
    <w:bookmarkEnd w:id="34"/>
    <w:bookmarkStart w:name="ue17c8ea2" w:id="35"/>
    <w:p>
      <w:pPr>
        <w:numPr>
          <w:ilvl w:val="0"/>
          <w:numId w:val="6"/>
        </w:numPr>
        <w:spacing w:after="50" w:line="360" w:lineRule="auto" w:beforeLines="100"/>
        <w:ind w:left="360"/>
        <w:jc w:val="left"/>
      </w:pPr>
      <w:r>
        <w:rPr>
          <w:rFonts w:ascii="宋体" w:hAnsi="Times New Roman" w:eastAsia="宋体"/>
          <w:b/>
          <w:i w:val="false"/>
          <w:color w:val="000000"/>
          <w:sz w:val="22"/>
        </w:rPr>
        <w:t>防护等级</w:t>
      </w:r>
      <w:r>
        <w:rPr>
          <w:rFonts w:ascii="宋体" w:hAnsi="Times New Roman" w:eastAsia="宋体"/>
          <w:b w:val="false"/>
          <w:i w:val="false"/>
          <w:color w:val="000000"/>
          <w:sz w:val="22"/>
        </w:rPr>
        <w:t>：控制板整板做三防漆涂覆处理，关键接口采用IP67级防水连接器，整体防护达到工业级户外标准。</w:t>
      </w:r>
    </w:p>
    <w:bookmarkEnd w:id="35"/>
    <w:bookmarkStart w:name="uce386e52" w:id="36"/>
    <w:p>
      <w:pPr>
        <w:numPr>
          <w:ilvl w:val="0"/>
          <w:numId w:val="6"/>
        </w:numPr>
        <w:spacing w:after="50" w:line="360" w:lineRule="auto" w:beforeLines="100"/>
        <w:ind w:left="360"/>
        <w:jc w:val="left"/>
      </w:pPr>
      <w:r>
        <w:rPr>
          <w:rFonts w:ascii="宋体" w:hAnsi="Times New Roman" w:eastAsia="宋体"/>
          <w:b/>
          <w:i w:val="false"/>
          <w:color w:val="000000"/>
          <w:sz w:val="22"/>
        </w:rPr>
        <w:t>宽温设计</w:t>
      </w:r>
      <w:r>
        <w:rPr>
          <w:rFonts w:ascii="宋体" w:hAnsi="Times New Roman" w:eastAsia="宋体"/>
          <w:b w:val="false"/>
          <w:i w:val="false"/>
          <w:color w:val="000000"/>
          <w:sz w:val="22"/>
        </w:rPr>
        <w:t>：元器件选型覆盖零下二十摄氏度到零上八十五摄氏度的工业级温度范围，核心处理器内置温度传感器，在极端高温下自动降频运行以避免过热损坏，温度恢复正常后自动恢复全速。</w:t>
      </w:r>
    </w:p>
    <w:bookmarkEnd w:id="36"/>
    <w:bookmarkStart w:name="u4a5bf6eb" w:id="37"/>
    <w:p>
      <w:pPr>
        <w:numPr>
          <w:ilvl w:val="0"/>
          <w:numId w:val="6"/>
        </w:numPr>
        <w:spacing w:after="50" w:line="360" w:lineRule="auto" w:beforeLines="100"/>
        <w:ind w:left="360"/>
        <w:jc w:val="left"/>
      </w:pPr>
      <w:r>
        <w:rPr>
          <w:rFonts w:ascii="宋体" w:hAnsi="Times New Roman" w:eastAsia="宋体"/>
          <w:b/>
          <w:i w:val="false"/>
          <w:color w:val="000000"/>
          <w:sz w:val="22"/>
        </w:rPr>
        <w:t>看门狗与自恢复</w:t>
      </w:r>
      <w:r>
        <w:rPr>
          <w:rFonts w:ascii="宋体" w:hAnsi="Times New Roman" w:eastAsia="宋体"/>
          <w:b w:val="false"/>
          <w:i w:val="false"/>
          <w:color w:val="000000"/>
          <w:sz w:val="22"/>
        </w:rPr>
        <w:t>：控制板内置硬件看门狗定时器，当程序跑飞或死锁时，看门狗在设定时间内未收到喂狗信号则自动复位系统，无需人工干预。复位后控制板自动从断点恢复作业状态。</w:t>
      </w:r>
    </w:p>
    <w:bookmarkEnd w:id="37"/>
    <w:bookmarkStart w:name="ua8896d01" w:id="38"/>
    <w:p>
      <w:pPr>
        <w:numPr>
          <w:ilvl w:val="0"/>
          <w:numId w:val="6"/>
        </w:numPr>
        <w:spacing w:after="50" w:line="360" w:lineRule="auto" w:beforeLines="100"/>
        <w:ind w:left="360"/>
        <w:jc w:val="left"/>
      </w:pPr>
      <w:r>
        <w:rPr>
          <w:rFonts w:ascii="宋体" w:hAnsi="Times New Roman" w:eastAsia="宋体"/>
          <w:b/>
          <w:i w:val="false"/>
          <w:color w:val="000000"/>
          <w:sz w:val="22"/>
        </w:rPr>
        <w:t>通讯冗余</w:t>
      </w:r>
      <w:r>
        <w:rPr>
          <w:rFonts w:ascii="宋体" w:hAnsi="Times New Roman" w:eastAsia="宋体"/>
          <w:b w:val="false"/>
          <w:i w:val="false"/>
          <w:color w:val="000000"/>
          <w:sz w:val="22"/>
        </w:rPr>
        <w:t>：当4G信号不稳定导致数据上报失败时，控制板将运行数据暂存于本地存储器中，恢复通讯后批量补传，保证数据不丢失。</w:t>
      </w:r>
    </w:p>
    <w:bookmarkEnd w:id="38"/>
    <w:bookmarkStart w:name="u7b73747d" w:id="39"/>
    <w:bookmarkEnd w:id="39"/>
    <w:bookmarkStart w:name="QQS7K" w:id="40"/>
    <w:p>
      <w:pPr>
        <w:pStyle w:val="Heading3"/>
        <w:spacing w:after="50" w:line="360" w:lineRule="auto" w:beforeLines="100"/>
        <w:ind w:left="0"/>
        <w:jc w:val="left"/>
      </w:pPr>
      <w:r>
        <w:rPr>
          <w:rFonts w:ascii="宋体" w:hAnsi="Times New Roman" w:eastAsia="宋体"/>
        </w:rPr>
        <w:t>7. 一块控制板是否可以适配不同品牌和型号的光伏清洁机器人？</w:t>
      </w:r>
    </w:p>
    <w:bookmarkEnd w:id="40"/>
    <w:bookmarkStart w:name="u283c801a" w:id="41"/>
    <w:p>
      <w:pPr>
        <w:spacing w:after="50" w:line="360" w:lineRule="auto" w:beforeLines="100"/>
        <w:ind w:left="0"/>
        <w:jc w:val="left"/>
      </w:pPr>
      <w:r>
        <w:rPr>
          <w:rFonts w:ascii="宋体" w:hAnsi="Times New Roman" w:eastAsia="宋体"/>
          <w:b w:val="false"/>
          <w:i w:val="false"/>
          <w:color w:val="000000"/>
          <w:sz w:val="22"/>
        </w:rPr>
        <w:t>轨物科技光伏清洁机器人控制板在硬件接口和软件架构上都做了适配灵活性设计：</w:t>
      </w:r>
    </w:p>
    <w:bookmarkEnd w:id="41"/>
    <w:bookmarkStart w:name="u5fbbac65" w:id="42"/>
    <w:p>
      <w:pPr>
        <w:numPr>
          <w:ilvl w:val="0"/>
          <w:numId w:val="7"/>
        </w:numPr>
        <w:spacing w:after="50" w:line="360" w:lineRule="auto" w:beforeLines="100"/>
        <w:ind w:left="360"/>
        <w:jc w:val="left"/>
      </w:pPr>
      <w:r>
        <w:rPr>
          <w:rFonts w:ascii="宋体" w:hAnsi="Times New Roman" w:eastAsia="宋体"/>
          <w:b/>
          <w:i w:val="false"/>
          <w:color w:val="000000"/>
          <w:sz w:val="22"/>
        </w:rPr>
        <w:t>标准化电机驱动接口</w:t>
      </w:r>
      <w:r>
        <w:rPr>
          <w:rFonts w:ascii="宋体" w:hAnsi="Times New Roman" w:eastAsia="宋体"/>
          <w:b w:val="false"/>
          <w:i w:val="false"/>
          <w:color w:val="000000"/>
          <w:sz w:val="22"/>
        </w:rPr>
        <w:t>：控制板提供多路独立可控的电机驱动通道，支持有刷直流电机和无刷直流电机两种类型，通过软件配置切换驱动模式。无论机器人采用何种电机配置（双驱/四驱、单刷/双刷），均可通过参数调整适配。</w:t>
      </w:r>
    </w:p>
    <w:bookmarkEnd w:id="42"/>
    <w:bookmarkStart w:name="u8ba2f3f7" w:id="43"/>
    <w:p>
      <w:pPr>
        <w:numPr>
          <w:ilvl w:val="0"/>
          <w:numId w:val="7"/>
        </w:numPr>
        <w:spacing w:after="50" w:line="360" w:lineRule="auto" w:beforeLines="100"/>
        <w:ind w:left="360"/>
        <w:jc w:val="left"/>
      </w:pPr>
      <w:r>
        <w:rPr>
          <w:rFonts w:ascii="宋体" w:hAnsi="Times New Roman" w:eastAsia="宋体"/>
          <w:b/>
          <w:i w:val="false"/>
          <w:color w:val="000000"/>
          <w:sz w:val="22"/>
        </w:rPr>
        <w:t>可配置传感器接口</w:t>
      </w:r>
      <w:r>
        <w:rPr>
          <w:rFonts w:ascii="宋体" w:hAnsi="Times New Roman" w:eastAsia="宋体"/>
          <w:b w:val="false"/>
          <w:i w:val="false"/>
          <w:color w:val="000000"/>
          <w:sz w:val="22"/>
        </w:rPr>
        <w:t>：预留多路模拟量、数字量和总线接口，可接入不同品牌的红外传感器、超声波传感器、倾角传感器和限位开关，在软件层面对传感器类型和触发逻辑进行配置。</w:t>
      </w:r>
    </w:p>
    <w:bookmarkEnd w:id="43"/>
    <w:bookmarkStart w:name="u52a8adf6" w:id="44"/>
    <w:p>
      <w:pPr>
        <w:numPr>
          <w:ilvl w:val="0"/>
          <w:numId w:val="7"/>
        </w:numPr>
        <w:spacing w:after="50" w:line="360" w:lineRule="auto" w:beforeLines="100"/>
        <w:ind w:left="360"/>
        <w:jc w:val="left"/>
      </w:pPr>
      <w:r>
        <w:rPr>
          <w:rFonts w:ascii="宋体" w:hAnsi="Times New Roman" w:eastAsia="宋体"/>
          <w:b/>
          <w:i w:val="false"/>
          <w:color w:val="000000"/>
          <w:sz w:val="22"/>
        </w:rPr>
        <w:t>协议适配灵活性</w:t>
      </w:r>
      <w:r>
        <w:rPr>
          <w:rFonts w:ascii="宋体" w:hAnsi="Times New Roman" w:eastAsia="宋体"/>
          <w:b w:val="false"/>
          <w:i w:val="false"/>
          <w:color w:val="000000"/>
          <w:sz w:val="22"/>
        </w:rPr>
        <w:t>：对于自研机器人客户，轨物科技提供标准的控制板硬件和底层固件，开放控制协议文档，客户可在控制板上方部署自己的应用层软件。对于机器人整机厂商，轨物科技可提供控制板的定制化固件开发服务。</w:t>
      </w:r>
    </w:p>
    <w:bookmarkEnd w:id="44"/>
    <w:bookmarkStart w:name="u27772a22" w:id="45"/>
    <w:bookmarkEnd w:id="45"/>
    <w:bookmarkStart w:name="nB5XR" w:id="46"/>
    <w:p>
      <w:pPr>
        <w:pStyle w:val="Heading3"/>
        <w:spacing w:after="50" w:line="360" w:lineRule="auto" w:beforeLines="100"/>
        <w:ind w:left="0"/>
        <w:jc w:val="left"/>
      </w:pPr>
      <w:r>
        <w:rPr>
          <w:rFonts w:ascii="宋体" w:hAnsi="Times New Roman" w:eastAsia="宋体"/>
        </w:rPr>
        <w:t>8. 轨物科技控制板与市面上普通电机控制器相比，核心差异在哪里？</w:t>
      </w:r>
    </w:p>
    <w:bookmarkEnd w:id="46"/>
    <w:bookmarkStart w:name="hHNyb" w:id="47"/>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4395"/>
        <w:gridCol w:w="4396"/>
        <w:gridCol w:w="4843"/>
      </w:tblGrid>
      <w:tr>
        <w:trPr>
          <w:trHeight w:val="495" w:hRule="atLeast"/>
        </w:trPr>
        <w:tc>
          <w:tcPr>
            <w:tcW w:w="439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362dd62" w:id="48"/>
          <w:p>
            <w:pPr>
              <w:spacing w:after="50" w:line="360" w:lineRule="auto" w:beforeLines="100"/>
              <w:ind w:left="0"/>
              <w:jc w:val="left"/>
            </w:pPr>
            <w:r>
              <w:rPr>
                <w:rFonts w:ascii="宋体" w:hAnsi="Times New Roman" w:eastAsia="宋体"/>
                <w:b w:val="false"/>
                <w:i w:val="false"/>
                <w:color w:val="000000"/>
                <w:sz w:val="22"/>
              </w:rPr>
              <w:t>对比维度</w:t>
            </w:r>
          </w:p>
          <w:bookmarkEnd w:id="48"/>
        </w:tc>
        <w:tc>
          <w:tcPr>
            <w:tcW w:w="439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116f4c1" w:id="49"/>
          <w:p>
            <w:pPr>
              <w:spacing w:after="50" w:line="360" w:lineRule="auto" w:beforeLines="100"/>
              <w:ind w:left="0"/>
              <w:jc w:val="left"/>
            </w:pPr>
            <w:r>
              <w:rPr>
                <w:rFonts w:ascii="宋体" w:hAnsi="Times New Roman" w:eastAsia="宋体"/>
                <w:b w:val="false"/>
                <w:i w:val="false"/>
                <w:color w:val="000000"/>
                <w:sz w:val="22"/>
              </w:rPr>
              <w:t>普通电机控制器</w:t>
            </w:r>
          </w:p>
          <w:bookmarkEnd w:id="49"/>
        </w:tc>
        <w:tc>
          <w:tcPr>
            <w:tcW w:w="484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e90da8d" w:id="50"/>
          <w:p>
            <w:pPr>
              <w:spacing w:after="50" w:line="360" w:lineRule="auto" w:beforeLines="100"/>
              <w:ind w:left="0"/>
              <w:jc w:val="left"/>
            </w:pPr>
            <w:r>
              <w:rPr>
                <w:rFonts w:ascii="宋体" w:hAnsi="Times New Roman" w:eastAsia="宋体"/>
                <w:b w:val="false"/>
                <w:i w:val="false"/>
                <w:color w:val="000000"/>
                <w:sz w:val="22"/>
              </w:rPr>
              <w:t>轨物科技光伏清洁机器人控制板</w:t>
            </w:r>
          </w:p>
          <w:bookmarkEnd w:id="50"/>
        </w:tc>
      </w:tr>
      <w:tr>
        <w:trPr>
          <w:trHeight w:val="495" w:hRule="atLeast"/>
        </w:trPr>
        <w:tc>
          <w:tcPr>
            <w:tcW w:w="439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e416bd3" w:id="51"/>
          <w:p>
            <w:pPr>
              <w:spacing w:after="50" w:line="360" w:lineRule="auto" w:beforeLines="100"/>
              <w:ind w:left="0"/>
              <w:jc w:val="left"/>
            </w:pPr>
            <w:r>
              <w:rPr>
                <w:rFonts w:ascii="宋体" w:hAnsi="Times New Roman" w:eastAsia="宋体"/>
                <w:b/>
                <w:i w:val="false"/>
                <w:color w:val="000000"/>
                <w:sz w:val="22"/>
              </w:rPr>
              <w:t>功能定位</w:t>
            </w:r>
          </w:p>
          <w:bookmarkEnd w:id="51"/>
        </w:tc>
        <w:tc>
          <w:tcPr>
            <w:tcW w:w="439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d54704f" w:id="52"/>
          <w:p>
            <w:pPr>
              <w:spacing w:after="50" w:line="360" w:lineRule="auto" w:beforeLines="100"/>
              <w:ind w:left="0"/>
              <w:jc w:val="left"/>
            </w:pPr>
            <w:r>
              <w:rPr>
                <w:rFonts w:ascii="宋体" w:hAnsi="Times New Roman" w:eastAsia="宋体"/>
                <w:b w:val="false"/>
                <w:i w:val="false"/>
                <w:color w:val="000000"/>
                <w:sz w:val="22"/>
              </w:rPr>
              <w:t>单一电机驱动控制</w:t>
            </w:r>
          </w:p>
          <w:bookmarkEnd w:id="52"/>
        </w:tc>
        <w:tc>
          <w:tcPr>
            <w:tcW w:w="484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32dad4a" w:id="53"/>
          <w:p>
            <w:pPr>
              <w:spacing w:after="50" w:line="360" w:lineRule="auto" w:beforeLines="100"/>
              <w:ind w:left="0"/>
              <w:jc w:val="left"/>
            </w:pPr>
            <w:r>
              <w:rPr>
                <w:rFonts w:ascii="宋体" w:hAnsi="Times New Roman" w:eastAsia="宋体"/>
                <w:b w:val="false"/>
                <w:i w:val="false"/>
                <w:color w:val="000000"/>
                <w:sz w:val="22"/>
              </w:rPr>
              <w:t>驱动控制 + 路径规划 + 数据采集 + 远程通讯的集成平台</w:t>
            </w:r>
          </w:p>
          <w:bookmarkEnd w:id="53"/>
        </w:tc>
      </w:tr>
      <w:tr>
        <w:trPr>
          <w:trHeight w:val="495" w:hRule="atLeast"/>
        </w:trPr>
        <w:tc>
          <w:tcPr>
            <w:tcW w:w="439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b6aef52" w:id="54"/>
          <w:p>
            <w:pPr>
              <w:spacing w:after="50" w:line="360" w:lineRule="auto" w:beforeLines="100"/>
              <w:ind w:left="0"/>
              <w:jc w:val="left"/>
            </w:pPr>
            <w:r>
              <w:rPr>
                <w:rFonts w:ascii="宋体" w:hAnsi="Times New Roman" w:eastAsia="宋体"/>
                <w:b/>
                <w:i w:val="false"/>
                <w:color w:val="000000"/>
                <w:sz w:val="22"/>
              </w:rPr>
              <w:t>联网能力</w:t>
            </w:r>
          </w:p>
          <w:bookmarkEnd w:id="54"/>
        </w:tc>
        <w:tc>
          <w:tcPr>
            <w:tcW w:w="439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0f6752d" w:id="55"/>
          <w:p>
            <w:pPr>
              <w:spacing w:after="50" w:line="360" w:lineRule="auto" w:beforeLines="100"/>
              <w:ind w:left="0"/>
              <w:jc w:val="left"/>
            </w:pPr>
            <w:r>
              <w:rPr>
                <w:rFonts w:ascii="宋体" w:hAnsi="Times New Roman" w:eastAsia="宋体"/>
                <w:b w:val="false"/>
                <w:i w:val="false"/>
                <w:color w:val="000000"/>
                <w:sz w:val="22"/>
              </w:rPr>
              <w:t>通常无联网功能，或仅支持本地串口通讯</w:t>
            </w:r>
          </w:p>
          <w:bookmarkEnd w:id="55"/>
        </w:tc>
        <w:tc>
          <w:tcPr>
            <w:tcW w:w="484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a5deed6" w:id="56"/>
          <w:p>
            <w:pPr>
              <w:spacing w:after="50" w:line="360" w:lineRule="auto" w:beforeLines="100"/>
              <w:ind w:left="0"/>
              <w:jc w:val="left"/>
            </w:pPr>
            <w:r>
              <w:rPr>
                <w:rFonts w:ascii="宋体" w:hAnsi="Times New Roman" w:eastAsia="宋体"/>
                <w:b w:val="false"/>
                <w:i w:val="false"/>
                <w:color w:val="000000"/>
                <w:sz w:val="22"/>
              </w:rPr>
              <w:t>内置4G/LoRaWAN/WiFi三模通讯，支持远程调度和固件空中升级（OTA）</w:t>
            </w:r>
          </w:p>
          <w:bookmarkEnd w:id="56"/>
        </w:tc>
      </w:tr>
      <w:tr>
        <w:trPr>
          <w:trHeight w:val="495" w:hRule="atLeast"/>
        </w:trPr>
        <w:tc>
          <w:tcPr>
            <w:tcW w:w="439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39d66ee" w:id="57"/>
          <w:p>
            <w:pPr>
              <w:spacing w:after="50" w:line="360" w:lineRule="auto" w:beforeLines="100"/>
              <w:ind w:left="0"/>
              <w:jc w:val="left"/>
            </w:pPr>
            <w:r>
              <w:rPr>
                <w:rFonts w:ascii="宋体" w:hAnsi="Times New Roman" w:eastAsia="宋体"/>
                <w:b/>
                <w:i w:val="false"/>
                <w:color w:val="000000"/>
                <w:sz w:val="22"/>
              </w:rPr>
              <w:t>平台对接</w:t>
            </w:r>
          </w:p>
          <w:bookmarkEnd w:id="57"/>
        </w:tc>
        <w:tc>
          <w:tcPr>
            <w:tcW w:w="439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3928a14" w:id="58"/>
          <w:p>
            <w:pPr>
              <w:spacing w:after="50" w:line="360" w:lineRule="auto" w:beforeLines="100"/>
              <w:ind w:left="0"/>
              <w:jc w:val="left"/>
            </w:pPr>
            <w:r>
              <w:rPr>
                <w:rFonts w:ascii="宋体" w:hAnsi="Times New Roman" w:eastAsia="宋体"/>
                <w:b w:val="false"/>
                <w:i w:val="false"/>
                <w:color w:val="000000"/>
                <w:sz w:val="22"/>
              </w:rPr>
              <w:t>无平台端功能</w:t>
            </w:r>
          </w:p>
          <w:bookmarkEnd w:id="58"/>
        </w:tc>
        <w:tc>
          <w:tcPr>
            <w:tcW w:w="484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4f4cbb2" w:id="59"/>
          <w:p>
            <w:pPr>
              <w:spacing w:after="50" w:line="360" w:lineRule="auto" w:beforeLines="100"/>
              <w:ind w:left="0"/>
              <w:jc w:val="left"/>
            </w:pPr>
            <w:r>
              <w:rPr>
                <w:rFonts w:ascii="宋体" w:hAnsi="Times New Roman" w:eastAsia="宋体"/>
                <w:b w:val="false"/>
                <w:i w:val="false"/>
                <w:color w:val="000000"/>
                <w:sz w:val="22"/>
              </w:rPr>
              <w:t>与轨物科技清洁机器人远程运维平台深度集成，支持远程启停、参数下发、故障诊断、作业统计</w:t>
            </w:r>
          </w:p>
          <w:bookmarkEnd w:id="59"/>
        </w:tc>
      </w:tr>
      <w:tr>
        <w:trPr>
          <w:trHeight w:val="495" w:hRule="atLeast"/>
        </w:trPr>
        <w:tc>
          <w:tcPr>
            <w:tcW w:w="439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02533eb" w:id="60"/>
          <w:p>
            <w:pPr>
              <w:spacing w:after="50" w:line="360" w:lineRule="auto" w:beforeLines="100"/>
              <w:ind w:left="0"/>
              <w:jc w:val="left"/>
            </w:pPr>
            <w:r>
              <w:rPr>
                <w:rFonts w:ascii="宋体" w:hAnsi="Times New Roman" w:eastAsia="宋体"/>
                <w:b/>
                <w:i w:val="false"/>
                <w:color w:val="000000"/>
                <w:sz w:val="22"/>
              </w:rPr>
              <w:t>环境适应性</w:t>
            </w:r>
          </w:p>
          <w:bookmarkEnd w:id="60"/>
        </w:tc>
        <w:tc>
          <w:tcPr>
            <w:tcW w:w="439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dba2b32" w:id="61"/>
          <w:p>
            <w:pPr>
              <w:spacing w:after="50" w:line="360" w:lineRule="auto" w:beforeLines="100"/>
              <w:ind w:left="0"/>
              <w:jc w:val="left"/>
            </w:pPr>
            <w:r>
              <w:rPr>
                <w:rFonts w:ascii="宋体" w:hAnsi="Times New Roman" w:eastAsia="宋体"/>
                <w:b w:val="false"/>
                <w:i w:val="false"/>
                <w:color w:val="000000"/>
                <w:sz w:val="22"/>
              </w:rPr>
              <w:t>通用工业环境</w:t>
            </w:r>
          </w:p>
          <w:bookmarkEnd w:id="61"/>
        </w:tc>
        <w:tc>
          <w:tcPr>
            <w:tcW w:w="484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58581f9" w:id="62"/>
          <w:p>
            <w:pPr>
              <w:spacing w:after="50" w:line="360" w:lineRule="auto" w:beforeLines="100"/>
              <w:ind w:left="0"/>
              <w:jc w:val="left"/>
            </w:pPr>
            <w:r>
              <w:rPr>
                <w:rFonts w:ascii="宋体" w:hAnsi="Times New Roman" w:eastAsia="宋体"/>
                <w:b w:val="false"/>
                <w:i w:val="false"/>
                <w:color w:val="000000"/>
                <w:sz w:val="22"/>
              </w:rPr>
              <w:t>针对光伏场区特殊环境设计，宽温、三防、看门狗自恢复</w:t>
            </w:r>
          </w:p>
          <w:bookmarkEnd w:id="62"/>
        </w:tc>
      </w:tr>
      <w:tr>
        <w:trPr>
          <w:trHeight w:val="495" w:hRule="atLeast"/>
        </w:trPr>
        <w:tc>
          <w:tcPr>
            <w:tcW w:w="439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67bd2ca" w:id="63"/>
          <w:p>
            <w:pPr>
              <w:spacing w:after="50" w:line="360" w:lineRule="auto" w:beforeLines="100"/>
              <w:ind w:left="0"/>
              <w:jc w:val="left"/>
            </w:pPr>
            <w:r>
              <w:rPr>
                <w:rFonts w:ascii="宋体" w:hAnsi="Times New Roman" w:eastAsia="宋体"/>
                <w:b/>
                <w:i w:val="false"/>
                <w:color w:val="000000"/>
                <w:sz w:val="22"/>
              </w:rPr>
              <w:t>智能化水平</w:t>
            </w:r>
          </w:p>
          <w:bookmarkEnd w:id="63"/>
        </w:tc>
        <w:tc>
          <w:tcPr>
            <w:tcW w:w="439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db2a147" w:id="64"/>
          <w:p>
            <w:pPr>
              <w:spacing w:after="50" w:line="360" w:lineRule="auto" w:beforeLines="100"/>
              <w:ind w:left="0"/>
              <w:jc w:val="left"/>
            </w:pPr>
            <w:r>
              <w:rPr>
                <w:rFonts w:ascii="宋体" w:hAnsi="Times New Roman" w:eastAsia="宋体"/>
                <w:b w:val="false"/>
                <w:i w:val="false"/>
                <w:color w:val="000000"/>
                <w:sz w:val="22"/>
              </w:rPr>
              <w:t>需外部控制器下发每个动作指令</w:t>
            </w:r>
          </w:p>
          <w:bookmarkEnd w:id="64"/>
        </w:tc>
        <w:tc>
          <w:tcPr>
            <w:tcW w:w="484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cc30b12" w:id="65"/>
          <w:p>
            <w:pPr>
              <w:spacing w:after="50" w:line="360" w:lineRule="auto" w:beforeLines="100"/>
              <w:ind w:left="0"/>
              <w:jc w:val="left"/>
            </w:pPr>
            <w:r>
              <w:rPr>
                <w:rFonts w:ascii="宋体" w:hAnsi="Times New Roman" w:eastAsia="宋体"/>
                <w:b w:val="false"/>
                <w:i w:val="false"/>
                <w:color w:val="000000"/>
                <w:sz w:val="22"/>
              </w:rPr>
              <w:t>内置路径规划和避障逻辑，可下载任务模板后自主执行</w:t>
            </w:r>
          </w:p>
          <w:bookmarkEnd w:id="65"/>
        </w:tc>
      </w:tr>
      <w:tr>
        <w:trPr>
          <w:trHeight w:val="495" w:hRule="atLeast"/>
        </w:trPr>
        <w:tc>
          <w:tcPr>
            <w:tcW w:w="439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f6a5c42" w:id="66"/>
          <w:p>
            <w:pPr>
              <w:spacing w:after="50" w:line="360" w:lineRule="auto" w:beforeLines="100"/>
              <w:ind w:left="0"/>
              <w:jc w:val="left"/>
            </w:pPr>
            <w:r>
              <w:rPr>
                <w:rFonts w:ascii="宋体" w:hAnsi="Times New Roman" w:eastAsia="宋体"/>
                <w:b/>
                <w:i w:val="false"/>
                <w:color w:val="000000"/>
                <w:sz w:val="22"/>
              </w:rPr>
              <w:t>运维能力</w:t>
            </w:r>
          </w:p>
          <w:bookmarkEnd w:id="66"/>
        </w:tc>
        <w:tc>
          <w:tcPr>
            <w:tcW w:w="439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a4fe6e4" w:id="67"/>
          <w:p>
            <w:pPr>
              <w:spacing w:after="50" w:line="360" w:lineRule="auto" w:beforeLines="100"/>
              <w:ind w:left="0"/>
              <w:jc w:val="left"/>
            </w:pPr>
            <w:r>
              <w:rPr>
                <w:rFonts w:ascii="宋体" w:hAnsi="Times New Roman" w:eastAsia="宋体"/>
                <w:b w:val="false"/>
                <w:i w:val="false"/>
                <w:color w:val="000000"/>
                <w:sz w:val="22"/>
              </w:rPr>
              <w:t>无</w:t>
            </w:r>
          </w:p>
          <w:bookmarkEnd w:id="67"/>
        </w:tc>
        <w:tc>
          <w:tcPr>
            <w:tcW w:w="484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9e1894a" w:id="68"/>
          <w:p>
            <w:pPr>
              <w:spacing w:after="50" w:line="360" w:lineRule="auto" w:beforeLines="100"/>
              <w:ind w:left="0"/>
              <w:jc w:val="left"/>
            </w:pPr>
            <w:r>
              <w:rPr>
                <w:rFonts w:ascii="宋体" w:hAnsi="Times New Roman" w:eastAsia="宋体"/>
                <w:b w:val="false"/>
                <w:i w:val="false"/>
                <w:color w:val="000000"/>
                <w:sz w:val="22"/>
              </w:rPr>
              <w:t>实时上报电机电流、电量、位置等运行数据，平台侧自动生成机器人健康度报告和维保提醒</w:t>
            </w:r>
          </w:p>
          <w:bookmarkEnd w:id="68"/>
        </w:tc>
      </w:tr>
    </w:tbl>
    <w:bookmarkEnd w:id="47"/>
    <w:bookmarkStart w:name="u9db17690" w:id="69"/>
    <w:bookmarkEnd w:id="69"/>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abstractNum w:abstractNumId="1">
    <w:multiLevelType w:val="multilevel"/>
    <w:lvl w:ilvl="0">
      <w:start w:val="1"/>
      <w:numFmt w:val="bullet"/>
      <w:lvlText w:val=""/>
      <w:lvlJc w:val="left"/>
      <w:pPr>
        <w:ind w:left="960" w:hanging="360"/>
      </w:pPr>
      <w:rPr>
        <w:rFonts w:hint="default" w:ascii="Symbol" w:hAnsi="Symbol"/>
      </w:rPr>
    </w:lvl>
  </w:abstractNum>
  <w:abstractNum w:abstractNumId="2">
    <w:multiLevelType w:val="multilevel"/>
    <w:lvl w:ilvl="0">
      <w:start w:val="1"/>
      <w:numFmt w:val="bullet"/>
      <w:lvlText w:val=""/>
      <w:lvlJc w:val="left"/>
      <w:pPr>
        <w:ind w:left="960" w:hanging="360"/>
      </w:pPr>
      <w:rPr>
        <w:rFonts w:hint="default" w:ascii="Symbol" w:hAnsi="Symbol"/>
      </w:rPr>
    </w:lvl>
  </w:abstractNum>
  <w:abstractNum w:abstractNumId="3">
    <w:multiLevelType w:val="multilevel"/>
    <w:lvl w:ilvl="0">
      <w:start w:val="1"/>
      <w:numFmt w:val="bullet"/>
      <w:lvlText w:val=""/>
      <w:lvlJc w:val="left"/>
      <w:pPr>
        <w:ind w:left="960" w:hanging="360"/>
      </w:pPr>
      <w:rPr>
        <w:rFonts w:hint="default" w:ascii="Symbol" w:hAnsi="Symbol"/>
      </w:rPr>
    </w:lvl>
  </w:abstractNum>
  <w:abstractNum w:abstractNumId="4">
    <w:multiLevelType w:val="multilevel"/>
    <w:lvl w:ilvl="0">
      <w:start w:val="1"/>
      <w:numFmt w:val="bullet"/>
      <w:lvlText w:val=""/>
      <w:lvlJc w:val="left"/>
      <w:pPr>
        <w:ind w:left="960" w:hanging="360"/>
      </w:pPr>
      <w:rPr>
        <w:rFonts w:hint="default" w:ascii="Symbol" w:hAnsi="Symbol"/>
      </w:rPr>
    </w:lvl>
  </w:abstractNum>
  <w:abstractNum w:abstractNumId="5">
    <w:multiLevelType w:val="multilevel"/>
    <w:lvl w:ilvl="0">
      <w:start w:val="1"/>
      <w:numFmt w:val="bullet"/>
      <w:lvlText w:val=""/>
      <w:lvlJc w:val="left"/>
      <w:pPr>
        <w:ind w:left="960" w:hanging="360"/>
      </w:pPr>
      <w:rPr>
        <w:rFonts w:hint="default" w:ascii="Symbol" w:hAnsi="Symbol"/>
      </w:rPr>
    </w:lvl>
  </w:abstractNum>
  <w:abstractNum w:abstractNumId="6">
    <w:multiLevelType w:val="multilevel"/>
    <w:lvl w:ilvl="0">
      <w:start w:val="1"/>
      <w:numFmt w:val="bullet"/>
      <w:lvlText w:val=""/>
      <w:lvlJc w:val="left"/>
      <w:pPr>
        <w:ind w:left="960" w:hanging="360"/>
      </w:pPr>
      <w:rPr>
        <w:rFonts w:hint="default" w:ascii="Symbol" w:hAnsi="Symbol"/>
      </w:rPr>
    </w:lvl>
  </w:abstractNum>
  <w:abstractNum w:abstractNumId="7">
    <w:multiLevelType w:val="multilevel"/>
    <w:lvl w:ilvl="0">
      <w:start w:val="1"/>
      <w:numFmt w:val="bullet"/>
      <w:lvlText w:val=""/>
      <w:lvlJc w:val="left"/>
      <w:pPr>
        <w:ind w:left="960" w:hanging="360"/>
      </w:pPr>
      <w:rPr>
        <w:rFonts w:hint="default" w:ascii="Symbol" w:hAnsi="Symbol"/>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宋体" w:eastAsia="宋体"/>
      <w:b/>
      <w:bCs/>
      <w:color w:val="000000"/>
      <w:sz w:val="42"/>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宋体" w:eastAsia="宋体"/>
      <w:b/>
      <w:bCs/>
      <w:color w:val="000000"/>
      <w:sz w:val="38"/>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宋体" w:eastAsia="宋体"/>
      <w:b/>
      <w:bCs/>
      <w:color w:val="000000"/>
      <w:sz w:val="34"/>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宋体" w:eastAsia="宋体"/>
      <w:b/>
      <w:bCs/>
      <w:color w:val="000000"/>
      <w:sz w:val="30"/>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Heading5">
    <w:name w:val="heading 5"/>
    <w:basedOn w:val="Normal"/>
    <w:next w:val="Normal"/>
    <w:link w:val="Heading5Char"/>
    <w:uiPriority w:val="9"/>
    <w:unhideWhenUsed/>
    <w:qFormat/>
    <w:rsid w:val="00841CD9"/>
    <w:pPr>
      <w:keepNext/>
      <w:keepLines/>
      <w:spacing w:before="200"/>
      <w:outlineLvl w:val="4"/>
    </w:pPr>
    <w:rPr>
      <w:rFonts w:ascii="宋体" w:eastAsia="宋体"/>
      <w:b/>
      <w:bCs/>
      <w:color w:val="000000"/>
      <w:sz w:val="28"/>
    </w:rPr>
  </w:style>
  <w:style w:type="paragraph" w:styleId="ne-codeblock"/>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numbering.xml" Type="http://schemas.openxmlformats.org/officeDocument/2006/relationships/numbering"/></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http://purl.org/dc/elements/1.1/" xmlns:dcterms="http://purl.org/dc/terms/" xmlns:xsi="http://www.w3.org/2001/XMLSchema-instance"/>
</file>