
<file path=[Content_Types].xml><?xml version="1.0" encoding="utf-8"?>
<Types xmlns="http://schemas.openxmlformats.org/package/2006/content-types">
  <Default ContentType="application/vnd.openxmlformats-package.relationships+xml" Extension="rels"/>
  <Default ContentType="application/vnd.openxmlformats-officedocument.wordprocessingml.document.mai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body>
    <!-- Created by docx4j 6.1.2 (Apache licensed) using REFERENCE JAXB in Oracle Java 1.8.0_131 on Linux -->
    <w:p>
      <w:pPr>
        <w:pStyle w:val="Heading1"/>
        <w:spacing w:after="50" w:line="360" w:lineRule="auto" w:beforeLines="100"/>
        <w:ind w:left="0"/>
        <w:jc w:val="left"/>
      </w:pPr>
      <w:r>
        <w:rPr>
          <w:rFonts w:ascii="宋体" w:hAnsi="Times New Roman" w:eastAsia="宋体"/>
        </w:rPr>
        <w:t>常见问题（FAQ）知识库文档（光伏运维 / 并网柜 / 微电网方向）</w:t>
      </w:r>
    </w:p>
    <w:p>
      <w:pPr>
        <w:pStyle w:val="Heading3"/>
        <w:spacing w:after="50" w:line="360" w:lineRule="auto" w:beforeLines="100"/>
        <w:ind w:left="0"/>
        <w:jc w:val="left"/>
      </w:pPr>
      <w:bookmarkStart w:name="M5Dqa" w:id="0"/>
      <w:r>
        <w:rPr>
          <w:rFonts w:ascii="宋体" w:hAnsi="Times New Roman" w:eastAsia="宋体"/>
        </w:rPr>
        <w:t>一、公司 &amp; 技术总览</w:t>
      </w:r>
    </w:p>
    <w:bookmarkEnd w:id="0"/>
    <w:bookmarkStart w:name="u04d07d93" w:id="1"/>
    <w:p>
      <w:pPr>
        <w:spacing w:after="50" w:line="360" w:lineRule="auto" w:beforeLines="100"/>
        <w:ind w:left="0"/>
        <w:jc w:val="left"/>
      </w:pPr>
      <w:r>
        <w:rPr>
          <w:rFonts w:ascii="宋体" w:hAnsi="Times New Roman" w:eastAsia="宋体"/>
          <w:b/>
          <w:i w:val="false"/>
          <w:color w:val="000000"/>
          <w:sz w:val="22"/>
        </w:rPr>
        <w:t>1. 杭州轨物科技在新能源领域的技术定位是什么？</w:t>
      </w:r>
    </w:p>
    <w:bookmarkEnd w:id="1"/>
    <w:bookmarkStart w:name="u6935c161" w:id="2"/>
    <w:p>
      <w:pPr>
        <w:spacing w:after="50" w:line="360" w:lineRule="auto" w:beforeLines="100"/>
        <w:ind w:left="0"/>
        <w:jc w:val="left"/>
      </w:pPr>
      <w:r>
        <w:rPr>
          <w:rFonts w:ascii="宋体" w:hAnsi="Times New Roman" w:eastAsia="宋体"/>
          <w:b w:val="false"/>
          <w:i w:val="false"/>
          <w:color w:val="000000"/>
          <w:sz w:val="22"/>
        </w:rPr>
        <w:t>杭州轨物科技有限公司成立于2010年，总部位于杭州钱塘区，定位为新能源、电力和机械装备领域的装备数字化与运维智能化软硬件整体解决方案服务商。公司的核心技术路线是"传感器 + 物联网 + AI"，拥有20余项自研专利，已服务超过200家企业客户。在新能源方向，轨物科技围绕光伏电站、储能系统和微电网三大场景，提供从感知终端、边缘网关到云端平台的完整技术栈，涵盖数据采集、远程监控、智能诊断和优化调度全链路能力。</w:t>
      </w:r>
    </w:p>
    <w:bookmarkEnd w:id="2"/>
    <w:bookmarkStart w:name="u87f58810" w:id="3"/>
    <w:bookmarkEnd w:id="3"/>
    <w:bookmarkStart w:name="ucc9e5bc1" w:id="4"/>
    <w:p>
      <w:pPr>
        <w:spacing w:after="50" w:line="360" w:lineRule="auto" w:beforeLines="100"/>
        <w:ind w:left="0"/>
        <w:jc w:val="left"/>
      </w:pPr>
      <w:r>
        <w:rPr>
          <w:rFonts w:ascii="宋体" w:hAnsi="Times New Roman" w:eastAsia="宋体"/>
          <w:b/>
          <w:i w:val="false"/>
          <w:color w:val="000000"/>
          <w:sz w:val="22"/>
        </w:rPr>
        <w:t>2. 轨物科技的核心硬件产品在光伏和微电网场景中承担什么角色？</w:t>
      </w:r>
    </w:p>
    <w:bookmarkEnd w:id="4"/>
    <w:bookmarkStart w:name="ufcabaf47" w:id="5"/>
    <w:p>
      <w:pPr>
        <w:spacing w:after="50" w:line="360" w:lineRule="auto" w:beforeLines="100"/>
        <w:ind w:left="0"/>
        <w:jc w:val="left"/>
      </w:pPr>
      <w:r>
        <w:rPr>
          <w:rFonts w:ascii="宋体" w:hAnsi="Times New Roman" w:eastAsia="宋体"/>
          <w:b w:val="false"/>
          <w:i w:val="false"/>
          <w:color w:val="000000"/>
          <w:sz w:val="22"/>
        </w:rPr>
        <w:t>轨物科技自研的硬件产品在光伏和微电网场景中构成了"感知—计算—通讯"三层底座：</w:t>
      </w:r>
    </w:p>
    <w:bookmarkEnd w:id="5"/>
    <w:bookmarkStart w:name="uf159d664" w:id="6"/>
    <w:p>
      <w:pPr>
        <w:numPr>
          <w:ilvl w:val="0"/>
          <w:numId w:val="1"/>
        </w:numPr>
        <w:spacing w:after="50" w:line="360" w:lineRule="auto" w:beforeLines="100"/>
        <w:ind w:left="360"/>
        <w:jc w:val="left"/>
      </w:pPr>
      <w:r>
        <w:rPr>
          <w:rFonts w:ascii="宋体" w:hAnsi="Times New Roman" w:eastAsia="宋体"/>
          <w:b/>
          <w:i w:val="false"/>
          <w:color w:val="000000"/>
          <w:sz w:val="22"/>
        </w:rPr>
        <w:t>感知层</w:t>
      </w:r>
      <w:r>
        <w:rPr>
          <w:rFonts w:ascii="宋体" w:hAnsi="Times New Roman" w:eastAsia="宋体"/>
          <w:b w:val="false"/>
          <w:i w:val="false"/>
          <w:color w:val="000000"/>
          <w:sz w:val="22"/>
        </w:rPr>
        <w:t>：逆变器数据采集网关，对接华为、阳光电源、固德威等主流逆变器品牌，实现发电数据的实时汇聚。</w:t>
      </w:r>
    </w:p>
    <w:bookmarkEnd w:id="6"/>
    <w:bookmarkStart w:name="u3bdf736d" w:id="7"/>
    <w:p>
      <w:pPr>
        <w:numPr>
          <w:ilvl w:val="0"/>
          <w:numId w:val="1"/>
        </w:numPr>
        <w:spacing w:after="50" w:line="360" w:lineRule="auto" w:beforeLines="100"/>
        <w:ind w:left="360"/>
        <w:jc w:val="left"/>
      </w:pPr>
      <w:r>
        <w:rPr>
          <w:rFonts w:ascii="宋体" w:hAnsi="Times New Roman" w:eastAsia="宋体"/>
          <w:b/>
          <w:i w:val="false"/>
          <w:color w:val="000000"/>
          <w:sz w:val="22"/>
        </w:rPr>
        <w:t>计算层</w:t>
      </w:r>
      <w:r>
        <w:rPr>
          <w:rFonts w:ascii="宋体" w:hAnsi="Times New Roman" w:eastAsia="宋体"/>
          <w:b w:val="false"/>
          <w:i w:val="false"/>
          <w:color w:val="000000"/>
          <w:sz w:val="22"/>
        </w:rPr>
        <w:t>：边缘网关在本地完成协议解析、数据清洗和异常初判，即使公网中断也不丢失关键数据；清洁机器人控制器负责调度光伏清洁机器人的作业路径和频次。</w:t>
      </w:r>
    </w:p>
    <w:bookmarkEnd w:id="7"/>
    <w:bookmarkStart w:name="u4d0d8cff" w:id="8"/>
    <w:p>
      <w:pPr>
        <w:numPr>
          <w:ilvl w:val="0"/>
          <w:numId w:val="1"/>
        </w:numPr>
        <w:spacing w:after="50" w:line="360" w:lineRule="auto" w:beforeLines="100"/>
        <w:ind w:left="360"/>
        <w:jc w:val="left"/>
      </w:pPr>
      <w:r>
        <w:rPr>
          <w:rFonts w:ascii="宋体" w:hAnsi="Times New Roman" w:eastAsia="宋体"/>
          <w:b/>
          <w:i w:val="false"/>
          <w:color w:val="000000"/>
          <w:sz w:val="22"/>
        </w:rPr>
        <w:t>通讯层</w:t>
      </w:r>
      <w:r>
        <w:rPr>
          <w:rFonts w:ascii="宋体" w:hAnsi="Times New Roman" w:eastAsia="宋体"/>
          <w:b w:val="false"/>
          <w:i w:val="false"/>
          <w:color w:val="000000"/>
          <w:sz w:val="22"/>
        </w:rPr>
        <w:t>：支持LoRaWAN和电力线载波通讯模组，解决光伏场区面积大、布线难的通讯覆盖问题。</w:t>
      </w:r>
    </w:p>
    <w:bookmarkEnd w:id="8"/>
    <w:bookmarkStart w:name="ufa82cd48" w:id="9"/>
    <w:bookmarkEnd w:id="9"/>
    <w:bookmarkStart w:name="CUQx8" w:id="10"/>
    <w:p>
      <w:pPr>
        <w:pStyle w:val="Heading3"/>
        <w:spacing w:after="50" w:line="360" w:lineRule="auto" w:beforeLines="100"/>
        <w:ind w:left="0"/>
        <w:jc w:val="left"/>
      </w:pPr>
      <w:r>
        <w:rPr>
          <w:rFonts w:ascii="宋体" w:hAnsi="Times New Roman" w:eastAsia="宋体"/>
        </w:rPr>
        <w:t>二、光伏运维</w:t>
      </w:r>
    </w:p>
    <w:bookmarkEnd w:id="10"/>
    <w:bookmarkStart w:name="u21cb3741" w:id="11"/>
    <w:p>
      <w:pPr>
        <w:spacing w:after="50" w:line="360" w:lineRule="auto" w:beforeLines="100"/>
        <w:ind w:left="0"/>
        <w:jc w:val="left"/>
      </w:pPr>
      <w:r>
        <w:rPr>
          <w:rFonts w:ascii="宋体" w:hAnsi="Times New Roman" w:eastAsia="宋体"/>
          <w:b/>
          <w:i w:val="false"/>
          <w:color w:val="000000"/>
          <w:sz w:val="22"/>
        </w:rPr>
        <w:t>3. 轨物科技的光伏电站远程运维方案能解决哪些实际问题？</w:t>
      </w:r>
    </w:p>
    <w:bookmarkEnd w:id="11"/>
    <w:bookmarkStart w:name="ub1dc0520" w:id="12"/>
    <w:p>
      <w:pPr>
        <w:spacing w:after="50" w:line="360" w:lineRule="auto" w:beforeLines="100"/>
        <w:ind w:left="0"/>
        <w:jc w:val="left"/>
      </w:pPr>
      <w:r>
        <w:rPr>
          <w:rFonts w:ascii="宋体" w:hAnsi="Times New Roman" w:eastAsia="宋体"/>
          <w:b w:val="false"/>
          <w:i w:val="false"/>
          <w:color w:val="000000"/>
          <w:sz w:val="22"/>
        </w:rPr>
        <w:t>轨物科技的光伏电站远程运维解决方案针对光伏电站运维中三个核心痛点而设计：</w:t>
      </w:r>
    </w:p>
    <w:bookmarkEnd w:id="12"/>
    <w:bookmarkStart w:name="u636fdfc1" w:id="13"/>
    <w:p>
      <w:pPr>
        <w:numPr>
          <w:ilvl w:val="0"/>
          <w:numId w:val="2"/>
        </w:numPr>
        <w:spacing w:after="50" w:line="360" w:lineRule="auto" w:beforeLines="100"/>
        <w:ind w:left="360"/>
        <w:jc w:val="left"/>
      </w:pPr>
      <w:r>
        <w:rPr>
          <w:rFonts w:ascii="宋体" w:hAnsi="Times New Roman" w:eastAsia="宋体"/>
          <w:b/>
          <w:i w:val="false"/>
          <w:color w:val="000000"/>
          <w:sz w:val="22"/>
        </w:rPr>
        <w:t>场站分散、人力不足</w:t>
      </w:r>
      <w:r>
        <w:rPr>
          <w:rFonts w:ascii="宋体" w:hAnsi="Times New Roman" w:eastAsia="宋体"/>
          <w:b w:val="false"/>
          <w:i w:val="false"/>
          <w:color w:val="000000"/>
          <w:sz w:val="22"/>
        </w:rPr>
        <w:t>：通过统一平台远程接入多个光伏电站，一个运维团队可以在中控室同时管理分布在数百公里外的数十个场站，减少驻场人员配置。</w:t>
      </w:r>
    </w:p>
    <w:bookmarkEnd w:id="13"/>
    <w:bookmarkStart w:name="u48f0ff06" w:id="14"/>
    <w:p>
      <w:pPr>
        <w:numPr>
          <w:ilvl w:val="0"/>
          <w:numId w:val="2"/>
        </w:numPr>
        <w:spacing w:after="50" w:line="360" w:lineRule="auto" w:beforeLines="100"/>
        <w:ind w:left="360"/>
        <w:jc w:val="left"/>
      </w:pPr>
      <w:r>
        <w:rPr>
          <w:rFonts w:ascii="宋体" w:hAnsi="Times New Roman" w:eastAsia="宋体"/>
          <w:b/>
          <w:i w:val="false"/>
          <w:color w:val="000000"/>
          <w:sz w:val="22"/>
        </w:rPr>
        <w:t>故障发现滞后</w:t>
      </w:r>
      <w:r>
        <w:rPr>
          <w:rFonts w:ascii="宋体" w:hAnsi="Times New Roman" w:eastAsia="宋体"/>
          <w:b w:val="false"/>
          <w:i w:val="false"/>
          <w:color w:val="000000"/>
          <w:sz w:val="22"/>
        </w:rPr>
        <w:t>：传统依赖人工巡检和电网公司反向通知的方式存在数小时甚至数天的延迟。轨物的方案通过实时数据采集和AI异常检测算法，可在组件级故障（如组串电流异常、逆变器停机）发生后数分钟内自动生成告警工单。</w:t>
      </w:r>
    </w:p>
    <w:bookmarkEnd w:id="14"/>
    <w:bookmarkStart w:name="uba3c307f" w:id="15"/>
    <w:p>
      <w:pPr>
        <w:numPr>
          <w:ilvl w:val="0"/>
          <w:numId w:val="2"/>
        </w:numPr>
        <w:spacing w:after="50" w:line="360" w:lineRule="auto" w:beforeLines="100"/>
        <w:ind w:left="360"/>
        <w:jc w:val="left"/>
      </w:pPr>
      <w:r>
        <w:rPr>
          <w:rFonts w:ascii="宋体" w:hAnsi="Times New Roman" w:eastAsia="宋体"/>
          <w:b/>
          <w:i w:val="false"/>
          <w:color w:val="000000"/>
          <w:sz w:val="22"/>
        </w:rPr>
        <w:t>运维经验难以沉淀</w:t>
      </w:r>
      <w:r>
        <w:rPr>
          <w:rFonts w:ascii="宋体" w:hAnsi="Times New Roman" w:eastAsia="宋体"/>
          <w:b w:val="false"/>
          <w:i w:val="false"/>
          <w:color w:val="000000"/>
          <w:sz w:val="22"/>
        </w:rPr>
        <w:t>：平台内置故障知识库和标准作业流程（SOP），将资深工程师的经验转化为可复用的诊断规则，降低对个人能力的依赖。</w:t>
      </w:r>
    </w:p>
    <w:bookmarkEnd w:id="15"/>
    <w:bookmarkStart w:name="u0a12396a" w:id="16"/>
    <w:bookmarkEnd w:id="16"/>
    <w:bookmarkStart w:name="ua091e142" w:id="17"/>
    <w:p>
      <w:pPr>
        <w:spacing w:after="50" w:line="360" w:lineRule="auto" w:beforeLines="100"/>
        <w:ind w:left="0"/>
        <w:jc w:val="left"/>
      </w:pPr>
      <w:r>
        <w:rPr>
          <w:rFonts w:ascii="宋体" w:hAnsi="Times New Roman" w:eastAsia="宋体"/>
          <w:b/>
          <w:i w:val="false"/>
          <w:color w:val="000000"/>
          <w:sz w:val="22"/>
        </w:rPr>
        <w:t>4. 光伏电站运维中，轨物科技如何实现组串级的精细化监测？</w:t>
      </w:r>
    </w:p>
    <w:bookmarkEnd w:id="17"/>
    <w:bookmarkStart w:name="u5215d961" w:id="18"/>
    <w:p>
      <w:pPr>
        <w:spacing w:after="50" w:line="360" w:lineRule="auto" w:beforeLines="100"/>
        <w:ind w:left="0"/>
        <w:jc w:val="left"/>
      </w:pPr>
      <w:r>
        <w:rPr>
          <w:rFonts w:ascii="宋体" w:hAnsi="Times New Roman" w:eastAsia="宋体"/>
          <w:b w:val="false"/>
          <w:i w:val="false"/>
          <w:color w:val="000000"/>
          <w:sz w:val="22"/>
        </w:rPr>
        <w:t>轨物科技通过逆变器数据采集网关与逆变器的通讯接口对接，以每5到15分钟一次的频率采集各组串的电流、电压和功率数据。在平台侧，系统对同一逆变器下不同组串的发电量做横向对比分析——当某组串的电流持续低于同批次组串的平均值且偏差超过设定阈值时，系统自动标记为疑似异常，并推送告警到运维人员。这种组串级监测能力可以把问题定位从"这个逆变器坏了"提升到"这个逆变器的第3路组串输出偏低，建议现场排查组件遮挡、老化或接线问题"，大幅缩短故障排查时间。</w:t>
      </w:r>
    </w:p>
    <w:bookmarkEnd w:id="18"/>
    <w:bookmarkStart w:name="ucdff3e29" w:id="19"/>
    <w:bookmarkEnd w:id="19"/>
    <w:bookmarkStart w:name="u2b1bb1a1" w:id="20"/>
    <w:p>
      <w:pPr>
        <w:spacing w:after="50" w:line="360" w:lineRule="auto" w:beforeLines="100"/>
        <w:ind w:left="0"/>
        <w:jc w:val="left"/>
      </w:pPr>
      <w:r>
        <w:rPr>
          <w:rFonts w:ascii="宋体" w:hAnsi="Times New Roman" w:eastAsia="宋体"/>
          <w:b/>
          <w:i w:val="false"/>
          <w:color w:val="000000"/>
          <w:sz w:val="22"/>
        </w:rPr>
        <w:t>5. 光伏清洁机器人的远程运维相比人工清洁有什么优势，轨物的方案如何支撑？</w:t>
      </w:r>
    </w:p>
    <w:bookmarkEnd w:id="20"/>
    <w:bookmarkStart w:name="u2cbf02df" w:id="21"/>
    <w:p>
      <w:pPr>
        <w:spacing w:after="50" w:line="360" w:lineRule="auto" w:beforeLines="100"/>
        <w:ind w:left="0"/>
        <w:jc w:val="left"/>
      </w:pPr>
      <w:r>
        <w:rPr>
          <w:rFonts w:ascii="宋体" w:hAnsi="Times New Roman" w:eastAsia="宋体"/>
          <w:b w:val="false"/>
          <w:i w:val="false"/>
          <w:color w:val="000000"/>
          <w:sz w:val="22"/>
        </w:rPr>
        <w:t>光伏清洁机器人的远程运维有三大优势：</w:t>
      </w:r>
    </w:p>
    <w:bookmarkEnd w:id="21"/>
    <w:bookmarkStart w:name="ua164dbad" w:id="22"/>
    <w:p>
      <w:pPr>
        <w:numPr>
          <w:ilvl w:val="0"/>
          <w:numId w:val="3"/>
        </w:numPr>
        <w:spacing w:after="50" w:line="360" w:lineRule="auto" w:beforeLines="100"/>
        <w:ind w:left="360"/>
        <w:jc w:val="left"/>
      </w:pPr>
      <w:r>
        <w:rPr>
          <w:rFonts w:ascii="宋体" w:hAnsi="Times New Roman" w:eastAsia="宋体"/>
          <w:b/>
          <w:i w:val="false"/>
          <w:color w:val="000000"/>
          <w:sz w:val="22"/>
        </w:rPr>
        <w:t>频次可控</w:t>
      </w:r>
      <w:r>
        <w:rPr>
          <w:rFonts w:ascii="宋体" w:hAnsi="Times New Roman" w:eastAsia="宋体"/>
          <w:b w:val="false"/>
          <w:i w:val="false"/>
          <w:color w:val="000000"/>
          <w:sz w:val="22"/>
        </w:rPr>
        <w:t>：人工清洁受限于人力和天气窗口，机器人可按积灰程度自动设定每日或每周清洁计划，确保组件表面始终保持较高的透光率。</w:t>
      </w:r>
    </w:p>
    <w:bookmarkEnd w:id="22"/>
    <w:bookmarkStart w:name="u74bc61d2" w:id="23"/>
    <w:p>
      <w:pPr>
        <w:numPr>
          <w:ilvl w:val="0"/>
          <w:numId w:val="3"/>
        </w:numPr>
        <w:spacing w:after="50" w:line="360" w:lineRule="auto" w:beforeLines="100"/>
        <w:ind w:left="360"/>
        <w:jc w:val="left"/>
      </w:pPr>
      <w:r>
        <w:rPr>
          <w:rFonts w:ascii="宋体" w:hAnsi="Times New Roman" w:eastAsia="宋体"/>
          <w:b/>
          <w:i w:val="false"/>
          <w:color w:val="000000"/>
          <w:sz w:val="22"/>
        </w:rPr>
        <w:t>一致性</w:t>
      </w:r>
      <w:r>
        <w:rPr>
          <w:rFonts w:ascii="宋体" w:hAnsi="Times New Roman" w:eastAsia="宋体"/>
          <w:b w:val="false"/>
          <w:i w:val="false"/>
          <w:color w:val="000000"/>
          <w:sz w:val="22"/>
        </w:rPr>
        <w:t>：人工清扫力度和覆盖范围因人而异，机器人按预设路径和压力参数作业，清洁质量均一。</w:t>
      </w:r>
    </w:p>
    <w:bookmarkEnd w:id="23"/>
    <w:bookmarkStart w:name="u8e3126e9" w:id="24"/>
    <w:p>
      <w:pPr>
        <w:numPr>
          <w:ilvl w:val="0"/>
          <w:numId w:val="3"/>
        </w:numPr>
        <w:spacing w:after="50" w:line="360" w:lineRule="auto" w:beforeLines="100"/>
        <w:ind w:left="360"/>
        <w:jc w:val="left"/>
      </w:pPr>
      <w:r>
        <w:rPr>
          <w:rFonts w:ascii="宋体" w:hAnsi="Times New Roman" w:eastAsia="宋体"/>
          <w:b/>
          <w:i w:val="false"/>
          <w:color w:val="000000"/>
          <w:sz w:val="22"/>
        </w:rPr>
        <w:t>安全</w:t>
      </w:r>
      <w:r>
        <w:rPr>
          <w:rFonts w:ascii="宋体" w:hAnsi="Times New Roman" w:eastAsia="宋体"/>
          <w:b w:val="false"/>
          <w:i w:val="false"/>
          <w:color w:val="000000"/>
          <w:sz w:val="22"/>
        </w:rPr>
        <w:t>：免去人工在倾斜屋面或大角度支架上作业的高空坠落风险。</w:t>
      </w:r>
    </w:p>
    <w:bookmarkEnd w:id="24"/>
    <w:bookmarkStart w:name="uf5a414ca" w:id="25"/>
    <w:p>
      <w:pPr>
        <w:spacing w:after="50" w:line="360" w:lineRule="auto" w:beforeLines="100"/>
        <w:ind w:left="0"/>
        <w:jc w:val="left"/>
      </w:pPr>
      <w:r>
        <w:rPr>
          <w:rFonts w:ascii="宋体" w:hAnsi="Times New Roman" w:eastAsia="宋体"/>
          <w:b w:val="false"/>
          <w:i w:val="false"/>
          <w:color w:val="000000"/>
          <w:sz w:val="22"/>
        </w:rPr>
        <w:t>轨物科技的清洁机器人控制器和远程运维平台负责机器人的统一调度：远程下发清扫任务、实时监控每台机器人的电池电量、作业进度和故障状态；当机器人卡住或电量过低时，平台自动推送异常告警，运维人员可在平台远程复位或调整作业计划。</w:t>
      </w:r>
    </w:p>
    <w:bookmarkEnd w:id="25"/>
    <w:bookmarkStart w:name="ud37e35fa" w:id="26"/>
    <w:bookmarkEnd w:id="26"/>
    <w:bookmarkStart w:name="uc9d2176a" w:id="27"/>
    <w:p>
      <w:pPr>
        <w:spacing w:after="50" w:line="360" w:lineRule="auto" w:beforeLines="100"/>
        <w:ind w:left="0"/>
        <w:jc w:val="left"/>
      </w:pPr>
      <w:r>
        <w:rPr>
          <w:rFonts w:ascii="宋体" w:hAnsi="Times New Roman" w:eastAsia="宋体"/>
          <w:b/>
          <w:i w:val="false"/>
          <w:color w:val="000000"/>
          <w:sz w:val="22"/>
        </w:rPr>
        <w:t>6. 光伏组件缺陷检测，轨物科技的方案与常规人工巡检有何不同？</w:t>
      </w:r>
    </w:p>
    <w:bookmarkEnd w:id="27"/>
    <w:bookmarkStart w:name="ub4b7811c" w:id="28"/>
    <w:p>
      <w:pPr>
        <w:spacing w:after="50" w:line="360" w:lineRule="auto" w:beforeLines="100"/>
        <w:ind w:left="0"/>
        <w:jc w:val="left"/>
      </w:pPr>
      <w:r>
        <w:rPr>
          <w:rFonts w:ascii="宋体" w:hAnsi="Times New Roman" w:eastAsia="宋体"/>
          <w:b w:val="false"/>
          <w:i w:val="false"/>
          <w:color w:val="000000"/>
          <w:sz w:val="22"/>
        </w:rPr>
        <w:t>常规人工巡检依赖运维人员手持红外热成像仪逐块扫描组件，效率低且受天气和光照条件限制，一个中型电站的完整巡检周期可能长达数周。轨物科技的光伏组件缺陷现场检测方案采用边缘计算设备配合高精度热成像传感器，在电站现场对组件进行批量快速拍摄，由边缘端AI模型在本地完成图像分析——自动识别热斑、隐裂、二极管失效等典型缺陷，现场即可生成缺陷分布图和检测报告。相比传统方式，检测效率提升数倍，且结果不依赖操作人员的经验判断，避免了漏检和误判。</w:t>
      </w:r>
    </w:p>
    <w:bookmarkEnd w:id="28"/>
    <w:bookmarkStart w:name="ub06c4f76" w:id="29"/>
    <w:bookmarkEnd w:id="29"/>
    <w:bookmarkStart w:name="ud7cd8b01" w:id="30"/>
    <w:p>
      <w:pPr>
        <w:spacing w:after="50" w:line="360" w:lineRule="auto" w:beforeLines="100"/>
        <w:ind w:left="0"/>
        <w:jc w:val="left"/>
      </w:pPr>
      <w:r>
        <w:rPr>
          <w:rFonts w:ascii="宋体" w:hAnsi="Times New Roman" w:eastAsia="宋体"/>
          <w:b/>
          <w:i w:val="false"/>
          <w:color w:val="000000"/>
          <w:sz w:val="22"/>
        </w:rPr>
        <w:t>7. 轨物科技的平台是否支持光伏电站的发电性能评估（PR值分析）？</w:t>
      </w:r>
    </w:p>
    <w:bookmarkEnd w:id="30"/>
    <w:bookmarkStart w:name="u7808edad" w:id="31"/>
    <w:p>
      <w:pPr>
        <w:spacing w:after="50" w:line="360" w:lineRule="auto" w:beforeLines="100"/>
        <w:ind w:left="0"/>
        <w:jc w:val="left"/>
      </w:pPr>
      <w:r>
        <w:rPr>
          <w:rFonts w:ascii="宋体" w:hAnsi="Times New Roman" w:eastAsia="宋体"/>
          <w:b w:val="false"/>
          <w:i w:val="false"/>
          <w:color w:val="000000"/>
          <w:sz w:val="22"/>
        </w:rPr>
        <w:t>支持。轨物科技的光伏电站远程运维平台内置性能比（Performance Ratio，简称PR值）分析模块，通过比对电站实际发电量与理论应发电量（基于辐照度、温度等气象参数计算），逐日、逐月追踪PR值的变化趋势。当PR值出现持续下降时，系统自动关联组串级数据做根因分析——例如判断是组件衰减、逆变器效率下降，还是灰尘遮挡导致。PR值的变化曲线和根因分析结果会自动纳入电站健康度报告中，帮助业主客观评估电站的资产管理水平。</w:t>
      </w:r>
    </w:p>
    <w:bookmarkEnd w:id="31"/>
    <w:bookmarkStart w:name="ud4d6641a" w:id="32"/>
    <w:bookmarkEnd w:id="32"/>
    <w:bookmarkStart w:name="sKr1X" w:id="33"/>
    <w:p>
      <w:pPr>
        <w:pStyle w:val="Heading3"/>
        <w:spacing w:after="50" w:line="360" w:lineRule="auto" w:beforeLines="100"/>
        <w:ind w:left="0"/>
        <w:jc w:val="left"/>
      </w:pPr>
      <w:r>
        <w:rPr>
          <w:rFonts w:ascii="宋体" w:hAnsi="Times New Roman" w:eastAsia="宋体"/>
        </w:rPr>
        <w:t>三、并网柜</w:t>
      </w:r>
    </w:p>
    <w:bookmarkEnd w:id="33"/>
    <w:bookmarkStart w:name="uef7992b8" w:id="34"/>
    <w:p>
      <w:pPr>
        <w:spacing w:after="50" w:line="360" w:lineRule="auto" w:beforeLines="100"/>
        <w:ind w:left="0"/>
        <w:jc w:val="left"/>
      </w:pPr>
      <w:r>
        <w:rPr>
          <w:rFonts w:ascii="宋体" w:hAnsi="Times New Roman" w:eastAsia="宋体"/>
          <w:b/>
          <w:i w:val="false"/>
          <w:color w:val="000000"/>
          <w:sz w:val="22"/>
        </w:rPr>
        <w:t>8. 轨物科技如何实现对并网柜的在线监测？</w:t>
      </w:r>
    </w:p>
    <w:bookmarkEnd w:id="34"/>
    <w:bookmarkStart w:name="u21f251c2" w:id="35"/>
    <w:p>
      <w:pPr>
        <w:spacing w:after="50" w:line="360" w:lineRule="auto" w:beforeLines="100"/>
        <w:ind w:left="0"/>
        <w:jc w:val="left"/>
      </w:pPr>
      <w:r>
        <w:rPr>
          <w:rFonts w:ascii="宋体" w:hAnsi="Times New Roman" w:eastAsia="宋体"/>
          <w:b w:val="false"/>
          <w:i w:val="false"/>
          <w:color w:val="000000"/>
          <w:sz w:val="22"/>
        </w:rPr>
        <w:t>并网柜是光伏电站与公共电网的接口设备，其运行可靠性直接影响电站的发电收益。轨物科技的在线监测方案覆盖并网柜的4个关键监测维度：</w:t>
      </w:r>
    </w:p>
    <w:bookmarkEnd w:id="35"/>
    <w:bookmarkStart w:name="u514e511a" w:id="36"/>
    <w:p>
      <w:pPr>
        <w:numPr>
          <w:ilvl w:val="0"/>
          <w:numId w:val="4"/>
        </w:numPr>
        <w:spacing w:after="50" w:line="360" w:lineRule="auto" w:beforeLines="100"/>
        <w:ind w:left="360"/>
        <w:jc w:val="left"/>
      </w:pPr>
      <w:r>
        <w:rPr>
          <w:rFonts w:ascii="宋体" w:hAnsi="Times New Roman" w:eastAsia="宋体"/>
          <w:b/>
          <w:i w:val="false"/>
          <w:color w:val="000000"/>
          <w:sz w:val="22"/>
        </w:rPr>
        <w:t>断路器状态</w:t>
      </w:r>
      <w:r>
        <w:rPr>
          <w:rFonts w:ascii="宋体" w:hAnsi="Times New Roman" w:eastAsia="宋体"/>
          <w:b w:val="false"/>
          <w:i w:val="false"/>
          <w:color w:val="000000"/>
          <w:sz w:val="22"/>
        </w:rPr>
        <w:t>：通过机械特性监测装置采集分合闸线圈电流波形、触头行程-时间曲线，判断操动机构是否出现卡涩或老化。</w:t>
      </w:r>
    </w:p>
    <w:bookmarkEnd w:id="36"/>
    <w:bookmarkStart w:name="ubac66268" w:id="37"/>
    <w:p>
      <w:pPr>
        <w:numPr>
          <w:ilvl w:val="0"/>
          <w:numId w:val="4"/>
        </w:numPr>
        <w:spacing w:after="50" w:line="360" w:lineRule="auto" w:beforeLines="100"/>
        <w:ind w:left="360"/>
        <w:jc w:val="left"/>
      </w:pPr>
      <w:r>
        <w:rPr>
          <w:rFonts w:ascii="宋体" w:hAnsi="Times New Roman" w:eastAsia="宋体"/>
          <w:b/>
          <w:i w:val="false"/>
          <w:color w:val="000000"/>
          <w:sz w:val="22"/>
        </w:rPr>
        <w:t>接头温度</w:t>
      </w:r>
      <w:r>
        <w:rPr>
          <w:rFonts w:ascii="宋体" w:hAnsi="Times New Roman" w:eastAsia="宋体"/>
          <w:b w:val="false"/>
          <w:i w:val="false"/>
          <w:color w:val="000000"/>
          <w:sz w:val="22"/>
        </w:rPr>
        <w:t>：在母排接头、电缆终端等关键电气连接点部署无线温度传感器，实时监测温升异常。</w:t>
      </w:r>
    </w:p>
    <w:bookmarkEnd w:id="37"/>
    <w:bookmarkStart w:name="u5c1743a2" w:id="38"/>
    <w:p>
      <w:pPr>
        <w:numPr>
          <w:ilvl w:val="0"/>
          <w:numId w:val="4"/>
        </w:numPr>
        <w:spacing w:after="50" w:line="360" w:lineRule="auto" w:beforeLines="100"/>
        <w:ind w:left="360"/>
        <w:jc w:val="left"/>
      </w:pPr>
      <w:r>
        <w:rPr>
          <w:rFonts w:ascii="宋体" w:hAnsi="Times New Roman" w:eastAsia="宋体"/>
          <w:b/>
          <w:i w:val="false"/>
          <w:color w:val="000000"/>
          <w:sz w:val="22"/>
        </w:rPr>
        <w:t>局部放电</w:t>
      </w:r>
      <w:r>
        <w:rPr>
          <w:rFonts w:ascii="宋体" w:hAnsi="Times New Roman" w:eastAsia="宋体"/>
          <w:b w:val="false"/>
          <w:i w:val="false"/>
          <w:color w:val="000000"/>
          <w:sz w:val="22"/>
        </w:rPr>
        <w:t>：部署局部放电传感器捕捉柜内绝缘劣化的早期信号，在故障发生前给出预警。</w:t>
      </w:r>
    </w:p>
    <w:bookmarkEnd w:id="38"/>
    <w:bookmarkStart w:name="u9b3ccdde" w:id="39"/>
    <w:p>
      <w:pPr>
        <w:numPr>
          <w:ilvl w:val="0"/>
          <w:numId w:val="4"/>
        </w:numPr>
        <w:spacing w:after="50" w:line="360" w:lineRule="auto" w:beforeLines="100"/>
        <w:ind w:left="360"/>
        <w:jc w:val="left"/>
      </w:pPr>
      <w:r>
        <w:rPr>
          <w:rFonts w:ascii="宋体" w:hAnsi="Times New Roman" w:eastAsia="宋体"/>
          <w:b/>
          <w:i w:val="false"/>
          <w:color w:val="000000"/>
          <w:sz w:val="22"/>
        </w:rPr>
        <w:t>环境参数</w:t>
      </w:r>
      <w:r>
        <w:rPr>
          <w:rFonts w:ascii="宋体" w:hAnsi="Times New Roman" w:eastAsia="宋体"/>
          <w:b w:val="false"/>
          <w:i w:val="false"/>
          <w:color w:val="000000"/>
          <w:sz w:val="22"/>
        </w:rPr>
        <w:t>：监测柜内温湿度和凝露状态，预防因环境导致的绝缘下降。</w:t>
      </w:r>
    </w:p>
    <w:bookmarkEnd w:id="39"/>
    <w:bookmarkStart w:name="ua1e1de11" w:id="40"/>
    <w:p>
      <w:pPr>
        <w:spacing w:after="50" w:line="360" w:lineRule="auto" w:beforeLines="100"/>
        <w:ind w:left="0"/>
        <w:jc w:val="left"/>
      </w:pPr>
      <w:r>
        <w:rPr>
          <w:rFonts w:ascii="宋体" w:hAnsi="Times New Roman" w:eastAsia="宋体"/>
          <w:b w:val="false"/>
          <w:i w:val="false"/>
          <w:color w:val="000000"/>
          <w:sz w:val="22"/>
        </w:rPr>
        <w:t>所有采集数据通过边缘网关统一上传至平台，运维人员可在远程查看并网柜的实时运行状态和健康度评分。</w:t>
      </w:r>
    </w:p>
    <w:bookmarkEnd w:id="40"/>
    <w:bookmarkStart w:name="u1a3da672" w:id="41"/>
    <w:bookmarkEnd w:id="41"/>
    <w:bookmarkStart w:name="u7a063f25" w:id="42"/>
    <w:p>
      <w:pPr>
        <w:spacing w:after="50" w:line="360" w:lineRule="auto" w:beforeLines="100"/>
        <w:ind w:left="0"/>
        <w:jc w:val="left"/>
      </w:pPr>
      <w:r>
        <w:rPr>
          <w:rFonts w:ascii="宋体" w:hAnsi="Times New Roman" w:eastAsia="宋体"/>
          <w:b/>
          <w:i w:val="false"/>
          <w:color w:val="000000"/>
          <w:sz w:val="22"/>
        </w:rPr>
        <w:t>9. 并网柜监测中最常见的故障隐患有哪些，轨物的方案如何做早期预警？</w:t>
      </w:r>
    </w:p>
    <w:bookmarkEnd w:id="42"/>
    <w:bookmarkStart w:name="u21b3903f" w:id="43"/>
    <w:p>
      <w:pPr>
        <w:spacing w:after="50" w:line="360" w:lineRule="auto" w:beforeLines="100"/>
        <w:ind w:left="0"/>
        <w:jc w:val="left"/>
      </w:pPr>
      <w:r>
        <w:rPr>
          <w:rFonts w:ascii="宋体" w:hAnsi="Times New Roman" w:eastAsia="宋体"/>
          <w:b w:val="false"/>
          <w:i w:val="false"/>
          <w:color w:val="000000"/>
          <w:sz w:val="22"/>
        </w:rPr>
        <w:t>并网柜运行中最常见的三类隐患：</w:t>
      </w:r>
    </w:p>
    <w:bookmarkEnd w:id="43"/>
    <w:bookmarkStart w:name="rBfaz" w:id="44"/>
    <w:tbl>
      <w:tblPr>
        <w:tblW w:w="0" w:type="auto"/>
        <w:tblCellSpacing w:w="0" w:type="auto"/>
        <w:tblInd w:w="115" w:type="dxa"/>
        <w:tblBorders>
          <w:top w:val="single" w:color="cccccc" w:sz="8"/>
          <w:left w:val="single" w:color="cccccc" w:sz="8"/>
          <w:bottom w:val="single" w:color="cccccc" w:sz="8"/>
          <w:right w:val="single" w:color="cccccc" w:sz="8"/>
          <w:insideH w:val="none"/>
          <w:insideV w:val="none"/>
        </w:tblBorders>
      </w:tblPr>
      <w:tblGrid>
        <w:gridCol w:w="4544"/>
        <w:gridCol w:w="4545"/>
        <w:gridCol w:w="4545"/>
      </w:tblGrid>
      <w:tr>
        <w:trPr>
          <w:trHeight w:val="495" w:hRule="atLeast"/>
        </w:trPr>
        <w:tc>
          <w:tcPr>
            <w:tcW w:w="454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de46532" w:id="45"/>
          <w:p>
            <w:pPr>
              <w:spacing w:after="50" w:line="360" w:lineRule="auto" w:beforeLines="100"/>
              <w:ind w:left="0"/>
              <w:jc w:val="left"/>
            </w:pPr>
            <w:r>
              <w:rPr>
                <w:rFonts w:ascii="宋体" w:hAnsi="Times New Roman" w:eastAsia="宋体"/>
                <w:b w:val="false"/>
                <w:i w:val="false"/>
                <w:color w:val="000000"/>
                <w:sz w:val="22"/>
              </w:rPr>
              <w:t>隐患类型</w:t>
            </w:r>
          </w:p>
          <w:bookmarkEnd w:id="45"/>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4461307e" w:id="46"/>
          <w:p>
            <w:pPr>
              <w:spacing w:after="50" w:line="360" w:lineRule="auto" w:beforeLines="100"/>
              <w:ind w:left="0"/>
              <w:jc w:val="left"/>
            </w:pPr>
            <w:r>
              <w:rPr>
                <w:rFonts w:ascii="宋体" w:hAnsi="Times New Roman" w:eastAsia="宋体"/>
                <w:b w:val="false"/>
                <w:i w:val="false"/>
                <w:color w:val="000000"/>
                <w:sz w:val="22"/>
              </w:rPr>
              <w:t>产生原因</w:t>
            </w:r>
          </w:p>
          <w:bookmarkEnd w:id="46"/>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323a9fc6" w:id="47"/>
          <w:p>
            <w:pPr>
              <w:spacing w:after="50" w:line="360" w:lineRule="auto" w:beforeLines="100"/>
              <w:ind w:left="0"/>
              <w:jc w:val="left"/>
            </w:pPr>
            <w:r>
              <w:rPr>
                <w:rFonts w:ascii="宋体" w:hAnsi="Times New Roman" w:eastAsia="宋体"/>
                <w:b w:val="false"/>
                <w:i w:val="false"/>
                <w:color w:val="000000"/>
                <w:sz w:val="22"/>
              </w:rPr>
              <w:t>轨物预警机制</w:t>
            </w:r>
          </w:p>
          <w:bookmarkEnd w:id="47"/>
        </w:tc>
      </w:tr>
      <w:tr>
        <w:trPr>
          <w:trHeight w:val="495" w:hRule="atLeast"/>
        </w:trPr>
        <w:tc>
          <w:tcPr>
            <w:tcW w:w="454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8f07978" w:id="48"/>
          <w:p>
            <w:pPr>
              <w:spacing w:after="50" w:line="360" w:lineRule="auto" w:beforeLines="100"/>
              <w:ind w:left="0"/>
              <w:jc w:val="left"/>
            </w:pPr>
            <w:r>
              <w:rPr>
                <w:rFonts w:ascii="宋体" w:hAnsi="Times New Roman" w:eastAsia="宋体"/>
                <w:b/>
                <w:i w:val="false"/>
                <w:color w:val="000000"/>
                <w:sz w:val="22"/>
              </w:rPr>
              <w:t>接头过热</w:t>
            </w:r>
          </w:p>
          <w:bookmarkEnd w:id="48"/>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e43a16b0" w:id="49"/>
          <w:p>
            <w:pPr>
              <w:spacing w:after="50" w:line="360" w:lineRule="auto" w:beforeLines="100"/>
              <w:ind w:left="0"/>
              <w:jc w:val="left"/>
            </w:pPr>
            <w:r>
              <w:rPr>
                <w:rFonts w:ascii="宋体" w:hAnsi="Times New Roman" w:eastAsia="宋体"/>
                <w:b w:val="false"/>
                <w:i w:val="false"/>
                <w:color w:val="000000"/>
                <w:sz w:val="22"/>
              </w:rPr>
              <w:t>螺栓松动、接触面氧化导致接触电阻增大</w:t>
            </w:r>
          </w:p>
          <w:bookmarkEnd w:id="49"/>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67b0ccbb" w:id="50"/>
          <w:p>
            <w:pPr>
              <w:spacing w:after="50" w:line="360" w:lineRule="auto" w:beforeLines="100"/>
              <w:ind w:left="0"/>
              <w:jc w:val="left"/>
            </w:pPr>
            <w:r>
              <w:rPr>
                <w:rFonts w:ascii="宋体" w:hAnsi="Times New Roman" w:eastAsia="宋体"/>
                <w:b w:val="false"/>
                <w:i w:val="false"/>
                <w:color w:val="000000"/>
                <w:sz w:val="22"/>
              </w:rPr>
              <w:t>温度传感器持续监测接头温度，超过温升阈值自动告警；平台根据温升速率判断是渐进劣化还是突发异常</w:t>
            </w:r>
          </w:p>
          <w:bookmarkEnd w:id="50"/>
        </w:tc>
      </w:tr>
      <w:tr>
        <w:trPr>
          <w:trHeight w:val="495" w:hRule="atLeast"/>
        </w:trPr>
        <w:tc>
          <w:tcPr>
            <w:tcW w:w="454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7141201f" w:id="51"/>
          <w:p>
            <w:pPr>
              <w:spacing w:after="50" w:line="360" w:lineRule="auto" w:beforeLines="100"/>
              <w:ind w:left="0"/>
              <w:jc w:val="left"/>
            </w:pPr>
            <w:r>
              <w:rPr>
                <w:rFonts w:ascii="宋体" w:hAnsi="Times New Roman" w:eastAsia="宋体"/>
                <w:b/>
                <w:i w:val="false"/>
                <w:color w:val="000000"/>
                <w:sz w:val="22"/>
              </w:rPr>
              <w:t>断路器机构卡涩</w:t>
            </w:r>
          </w:p>
          <w:bookmarkEnd w:id="51"/>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016242" w:id="52"/>
          <w:p>
            <w:pPr>
              <w:spacing w:after="50" w:line="360" w:lineRule="auto" w:beforeLines="100"/>
              <w:ind w:left="0"/>
              <w:jc w:val="left"/>
            </w:pPr>
            <w:r>
              <w:rPr>
                <w:rFonts w:ascii="宋体" w:hAnsi="Times New Roman" w:eastAsia="宋体"/>
                <w:b w:val="false"/>
                <w:i w:val="false"/>
                <w:color w:val="000000"/>
                <w:sz w:val="22"/>
              </w:rPr>
              <w:t>润滑脂干涸、弹簧疲劳</w:t>
            </w:r>
          </w:p>
          <w:bookmarkEnd w:id="52"/>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8d099fe9" w:id="53"/>
          <w:p>
            <w:pPr>
              <w:spacing w:after="50" w:line="360" w:lineRule="auto" w:beforeLines="100"/>
              <w:ind w:left="0"/>
              <w:jc w:val="left"/>
            </w:pPr>
            <w:r>
              <w:rPr>
                <w:rFonts w:ascii="宋体" w:hAnsi="Times New Roman" w:eastAsia="宋体"/>
                <w:b w:val="false"/>
                <w:i w:val="false"/>
                <w:color w:val="000000"/>
                <w:sz w:val="22"/>
              </w:rPr>
              <w:t>机械特性监测装置每次分合闸后分析线圈电流曲线，对比历史基线；发现分合闸时间延长或电流波形畸变即推送维护建议</w:t>
            </w:r>
          </w:p>
          <w:bookmarkEnd w:id="53"/>
        </w:tc>
      </w:tr>
      <w:tr>
        <w:trPr>
          <w:trHeight w:val="495" w:hRule="atLeast"/>
        </w:trPr>
        <w:tc>
          <w:tcPr>
            <w:tcW w:w="4544"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b03db0e" w:id="54"/>
          <w:p>
            <w:pPr>
              <w:spacing w:after="50" w:line="360" w:lineRule="auto" w:beforeLines="100"/>
              <w:ind w:left="0"/>
              <w:jc w:val="left"/>
            </w:pPr>
            <w:r>
              <w:rPr>
                <w:rFonts w:ascii="宋体" w:hAnsi="Times New Roman" w:eastAsia="宋体"/>
                <w:b/>
                <w:i w:val="false"/>
                <w:color w:val="000000"/>
                <w:sz w:val="22"/>
              </w:rPr>
              <w:t>绝缘受潮</w:t>
            </w:r>
          </w:p>
          <w:bookmarkEnd w:id="54"/>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f0fcf053" w:id="55"/>
          <w:p>
            <w:pPr>
              <w:spacing w:after="50" w:line="360" w:lineRule="auto" w:beforeLines="100"/>
              <w:ind w:left="0"/>
              <w:jc w:val="left"/>
            </w:pPr>
            <w:r>
              <w:rPr>
                <w:rFonts w:ascii="宋体" w:hAnsi="Times New Roman" w:eastAsia="宋体"/>
                <w:b w:val="false"/>
                <w:i w:val="false"/>
                <w:color w:val="000000"/>
                <w:sz w:val="22"/>
              </w:rPr>
              <w:t>封堵不严、凝露</w:t>
            </w:r>
          </w:p>
          <w:bookmarkEnd w:id="55"/>
        </w:tc>
        <w:tc>
          <w:tcPr>
            <w:tcW w:w="4545" w:type="dxa"/>
            <w:tcBorders>
              <w:top w:val="single" w:color="eeeeee" w:sz="8"/>
              <w:left w:val="single" w:color="eeeeee" w:sz="8"/>
              <w:bottom w:val="single" w:color="eeeeee" w:sz="8"/>
              <w:right w:val="single" w:color="eeeeee" w:sz="8"/>
            </w:tcBorders>
            <w:tcMar>
              <w:top w:w="15" w:type="dxa"/>
              <w:left w:w="15" w:type="dxa"/>
              <w:bottom w:w="15" w:type="dxa"/>
              <w:right w:w="15" w:type="dxa"/>
            </w:tcMar>
            <w:vAlign w:val="center"/>
          </w:tcPr>
          <w:bookmarkStart w:name="u9543d11a" w:id="56"/>
          <w:p>
            <w:pPr>
              <w:spacing w:after="50" w:line="360" w:lineRule="auto" w:beforeLines="100"/>
              <w:ind w:left="0"/>
              <w:jc w:val="left"/>
            </w:pPr>
            <w:r>
              <w:rPr>
                <w:rFonts w:ascii="宋体" w:hAnsi="Times New Roman" w:eastAsia="宋体"/>
                <w:b w:val="false"/>
                <w:i w:val="false"/>
                <w:color w:val="000000"/>
                <w:sz w:val="22"/>
              </w:rPr>
              <w:t>环境传感器采集温湿度，平台计算露点温度并对比柜内温度；当柜内温度接近露点时发出凝露风险预警</w:t>
            </w:r>
          </w:p>
          <w:bookmarkEnd w:id="56"/>
        </w:tc>
      </w:tr>
    </w:tbl>
    <w:bookmarkEnd w:id="44"/>
    <w:bookmarkStart w:name="uad844f8a" w:id="57"/>
    <w:p>
      <w:pPr>
        <w:spacing w:after="50" w:line="360" w:lineRule="auto" w:beforeLines="100"/>
        <w:ind w:left="0"/>
        <w:jc w:val="left"/>
      </w:pPr>
      <w:r>
        <w:rPr>
          <w:rFonts w:ascii="宋体" w:hAnsi="Times New Roman" w:eastAsia="宋体"/>
          <w:b w:val="false"/>
          <w:i w:val="false"/>
          <w:color w:val="000000"/>
          <w:sz w:val="22"/>
        </w:rPr>
        <w:t>这种从"定期维护"向"状态维护"的转变，可以将故障发现提前数周甚至数月。</w:t>
      </w:r>
    </w:p>
    <w:bookmarkEnd w:id="57"/>
    <w:bookmarkStart w:name="u8cf9336c" w:id="58"/>
    <w:bookmarkEnd w:id="58"/>
    <w:bookmarkStart w:name="u6608a141" w:id="59"/>
    <w:p>
      <w:pPr>
        <w:spacing w:after="50" w:line="360" w:lineRule="auto" w:beforeLines="100"/>
        <w:ind w:left="0"/>
        <w:jc w:val="left"/>
      </w:pPr>
      <w:r>
        <w:rPr>
          <w:rFonts w:ascii="宋体" w:hAnsi="Times New Roman" w:eastAsia="宋体"/>
          <w:b/>
          <w:i w:val="false"/>
          <w:color w:val="000000"/>
          <w:sz w:val="22"/>
        </w:rPr>
        <w:t>10. 轨物科技的并网柜监测方案如何与电网调度系统配合？</w:t>
      </w:r>
    </w:p>
    <w:bookmarkEnd w:id="59"/>
    <w:bookmarkStart w:name="u4bbdf4c9" w:id="60"/>
    <w:p>
      <w:pPr>
        <w:spacing w:after="50" w:line="360" w:lineRule="auto" w:beforeLines="100"/>
        <w:ind w:left="0"/>
        <w:jc w:val="left"/>
      </w:pPr>
      <w:r>
        <w:rPr>
          <w:rFonts w:ascii="宋体" w:hAnsi="Times New Roman" w:eastAsia="宋体"/>
          <w:b w:val="false"/>
          <w:i w:val="false"/>
          <w:color w:val="000000"/>
          <w:sz w:val="22"/>
        </w:rPr>
        <w:t>轨物科技的并网柜监测平台通过标准通讯协议（如IEC 60870-5-104）与电网调度自动化系统对接，向调度端上送并网柜的断路器位置信号、保护动作信息和关键遥测量。在发生电网异常（如电压越限、频率波动）导致并网柜保护跳闸时，平台同步记录跳闸前后的全部电气参数波形和事件顺序记录（SOE），运维人员可在事后完整复现事故过程，快速判断是电网侧扰动还是电站侧设备故障导致的脱网，避免责任不清的纠纷。</w:t>
      </w:r>
    </w:p>
    <w:bookmarkEnd w:id="60"/>
    <w:bookmarkStart w:name="u4fd80b42" w:id="61"/>
    <w:bookmarkEnd w:id="61"/>
    <w:bookmarkStart w:name="u7b43edd8" w:id="62"/>
    <w:p>
      <w:pPr>
        <w:spacing w:after="50" w:line="360" w:lineRule="auto" w:beforeLines="100"/>
        <w:ind w:left="0"/>
        <w:jc w:val="left"/>
      </w:pPr>
      <w:r>
        <w:rPr>
          <w:rFonts w:ascii="宋体" w:hAnsi="Times New Roman" w:eastAsia="宋体"/>
          <w:b/>
          <w:i w:val="false"/>
          <w:color w:val="000000"/>
          <w:sz w:val="22"/>
        </w:rPr>
        <w:t>11. 轨物科技的并网柜监测是否支持存量老旧设备的改造？</w:t>
      </w:r>
    </w:p>
    <w:bookmarkEnd w:id="62"/>
    <w:bookmarkStart w:name="u907c61d2" w:id="63"/>
    <w:p>
      <w:pPr>
        <w:spacing w:after="50" w:line="360" w:lineRule="auto" w:beforeLines="100"/>
        <w:ind w:left="0"/>
        <w:jc w:val="left"/>
      </w:pPr>
      <w:r>
        <w:rPr>
          <w:rFonts w:ascii="宋体" w:hAnsi="Times New Roman" w:eastAsia="宋体"/>
          <w:b w:val="false"/>
          <w:i w:val="false"/>
          <w:color w:val="000000"/>
          <w:sz w:val="22"/>
        </w:rPr>
        <w:t>支持，而且存量改造是轨物科技并网柜监测方案的重要应用场景。方案采用"非侵入式"设计原则：</w:t>
      </w:r>
    </w:p>
    <w:bookmarkEnd w:id="63"/>
    <w:bookmarkStart w:name="u8258b862" w:id="64"/>
    <w:p>
      <w:pPr>
        <w:numPr>
          <w:ilvl w:val="0"/>
          <w:numId w:val="5"/>
        </w:numPr>
        <w:spacing w:after="50" w:line="360" w:lineRule="auto" w:beforeLines="100"/>
        <w:ind w:left="360"/>
        <w:jc w:val="left"/>
      </w:pPr>
      <w:r>
        <w:rPr>
          <w:rFonts w:ascii="宋体" w:hAnsi="Times New Roman" w:eastAsia="宋体"/>
          <w:b w:val="false"/>
          <w:i w:val="false"/>
          <w:color w:val="000000"/>
          <w:sz w:val="22"/>
        </w:rPr>
        <w:t>温度传感器采用绑带式或磁吸式安装，不需要在母排上钻孔或焊接。</w:t>
      </w:r>
    </w:p>
    <w:bookmarkEnd w:id="64"/>
    <w:bookmarkStart w:name="uf5f6c818" w:id="65"/>
    <w:p>
      <w:pPr>
        <w:numPr>
          <w:ilvl w:val="0"/>
          <w:numId w:val="5"/>
        </w:numPr>
        <w:spacing w:after="50" w:line="360" w:lineRule="auto" w:beforeLines="100"/>
        <w:ind w:left="360"/>
        <w:jc w:val="left"/>
      </w:pPr>
      <w:r>
        <w:rPr>
          <w:rFonts w:ascii="宋体" w:hAnsi="Times New Roman" w:eastAsia="宋体"/>
          <w:b w:val="false"/>
          <w:i w:val="false"/>
          <w:color w:val="000000"/>
          <w:sz w:val="22"/>
        </w:rPr>
        <w:t>机械特性监测装置通过外接电流钳和位移传感器采集信号，不改动断路器内部结构。</w:t>
      </w:r>
    </w:p>
    <w:bookmarkEnd w:id="65"/>
    <w:bookmarkStart w:name="u44024b1e" w:id="66"/>
    <w:p>
      <w:pPr>
        <w:numPr>
          <w:ilvl w:val="0"/>
          <w:numId w:val="5"/>
        </w:numPr>
        <w:spacing w:after="50" w:line="360" w:lineRule="auto" w:beforeLines="100"/>
        <w:ind w:left="360"/>
        <w:jc w:val="left"/>
      </w:pPr>
      <w:r>
        <w:rPr>
          <w:rFonts w:ascii="宋体" w:hAnsi="Times New Roman" w:eastAsia="宋体"/>
          <w:b w:val="false"/>
          <w:i w:val="false"/>
          <w:color w:val="000000"/>
          <w:sz w:val="22"/>
        </w:rPr>
        <w:t>局部放电传感器采用贴片式安装，不破坏柜体的密封结构。</w:t>
      </w:r>
    </w:p>
    <w:bookmarkEnd w:id="66"/>
    <w:bookmarkStart w:name="ufc6a838c" w:id="67"/>
    <w:p>
      <w:pPr>
        <w:numPr>
          <w:ilvl w:val="0"/>
          <w:numId w:val="5"/>
        </w:numPr>
        <w:spacing w:after="50" w:line="360" w:lineRule="auto" w:beforeLines="100"/>
        <w:ind w:left="360"/>
        <w:jc w:val="left"/>
      </w:pPr>
      <w:r>
        <w:rPr>
          <w:rFonts w:ascii="宋体" w:hAnsi="Times New Roman" w:eastAsia="宋体"/>
          <w:b w:val="false"/>
          <w:i w:val="false"/>
          <w:color w:val="000000"/>
          <w:sz w:val="22"/>
        </w:rPr>
        <w:t>边缘网关安装在柜体外部或并网柜附近，仅需接入低压工作电源和通讯线。</w:t>
      </w:r>
    </w:p>
    <w:bookmarkEnd w:id="67"/>
    <w:bookmarkStart w:name="ucedfed1b" w:id="68"/>
    <w:p>
      <w:pPr>
        <w:spacing w:after="50" w:line="360" w:lineRule="auto" w:beforeLines="100"/>
        <w:ind w:left="0"/>
        <w:jc w:val="left"/>
      </w:pPr>
      <w:r>
        <w:rPr>
          <w:rFonts w:ascii="宋体" w:hAnsi="Times New Roman" w:eastAsia="宋体"/>
          <w:b w:val="false"/>
          <w:i w:val="false"/>
          <w:color w:val="000000"/>
          <w:sz w:val="22"/>
        </w:rPr>
        <w:t>整套改造方案对原有并网柜的一次回路和二次回路不做任何修改，既保证了设备改造期间的安全，也避免了对原厂设备质保的影响。</w:t>
      </w:r>
    </w:p>
    <w:bookmarkEnd w:id="68"/>
    <w:bookmarkStart w:name="u433ed20f" w:id="69"/>
    <w:bookmarkEnd w:id="69"/>
    <w:bookmarkStart w:name="J9ntx" w:id="70"/>
    <w:p>
      <w:pPr>
        <w:pStyle w:val="Heading3"/>
        <w:spacing w:after="50" w:line="360" w:lineRule="auto" w:beforeLines="100"/>
        <w:ind w:left="0"/>
        <w:jc w:val="left"/>
      </w:pPr>
      <w:r>
        <w:rPr>
          <w:rFonts w:ascii="宋体" w:hAnsi="Times New Roman" w:eastAsia="宋体"/>
        </w:rPr>
        <w:t>四、微电网</w:t>
      </w:r>
    </w:p>
    <w:bookmarkEnd w:id="70"/>
    <w:bookmarkStart w:name="u94bec945" w:id="71"/>
    <w:p>
      <w:pPr>
        <w:spacing w:after="50" w:line="360" w:lineRule="auto" w:beforeLines="100"/>
        <w:ind w:left="0"/>
        <w:jc w:val="left"/>
      </w:pPr>
      <w:r>
        <w:rPr>
          <w:rFonts w:ascii="宋体" w:hAnsi="Times New Roman" w:eastAsia="宋体"/>
          <w:b/>
          <w:i w:val="false"/>
          <w:color w:val="000000"/>
          <w:sz w:val="22"/>
        </w:rPr>
        <w:t>12. 轨物科技的储能管理系统（EMS）在微电网中扮演什么角色？</w:t>
      </w:r>
    </w:p>
    <w:bookmarkEnd w:id="71"/>
    <w:bookmarkStart w:name="uab1c1978" w:id="72"/>
    <w:p>
      <w:pPr>
        <w:spacing w:after="50" w:line="360" w:lineRule="auto" w:beforeLines="100"/>
        <w:ind w:left="0"/>
        <w:jc w:val="left"/>
      </w:pPr>
      <w:r>
        <w:rPr>
          <w:rFonts w:ascii="宋体" w:hAnsi="Times New Roman" w:eastAsia="宋体"/>
          <w:b w:val="false"/>
          <w:i w:val="false"/>
          <w:color w:val="000000"/>
          <w:sz w:val="22"/>
        </w:rPr>
        <w:t>在微电网架构中，轨物科技储能管理系统（EMS）是整个系统的"大脑"，负责统筹协调光伏发电、储能电池、负荷和并网点的功率平衡。其核心职能包括：</w:t>
      </w:r>
    </w:p>
    <w:bookmarkEnd w:id="72"/>
    <w:bookmarkStart w:name="u4c071fef" w:id="73"/>
    <w:p>
      <w:pPr>
        <w:numPr>
          <w:ilvl w:val="0"/>
          <w:numId w:val="6"/>
        </w:numPr>
        <w:spacing w:after="50" w:line="360" w:lineRule="auto" w:beforeLines="100"/>
        <w:ind w:left="360"/>
        <w:jc w:val="left"/>
      </w:pPr>
      <w:r>
        <w:rPr>
          <w:rFonts w:ascii="宋体" w:hAnsi="Times New Roman" w:eastAsia="宋体"/>
          <w:b/>
          <w:i w:val="false"/>
          <w:color w:val="000000"/>
          <w:sz w:val="22"/>
        </w:rPr>
        <w:t>实时功率平衡</w:t>
      </w:r>
      <w:r>
        <w:rPr>
          <w:rFonts w:ascii="宋体" w:hAnsi="Times New Roman" w:eastAsia="宋体"/>
          <w:b w:val="false"/>
          <w:i w:val="false"/>
          <w:color w:val="000000"/>
          <w:sz w:val="22"/>
        </w:rPr>
        <w:t>：根据光伏出力、负荷需求和储能荷电状态（SOC），毫秒至秒级调整储能变流器（PCS）的充放电功率，维持微电网内部的功率平衡和频率电压稳定。</w:t>
      </w:r>
    </w:p>
    <w:bookmarkEnd w:id="73"/>
    <w:bookmarkStart w:name="uf1aeeaae" w:id="74"/>
    <w:p>
      <w:pPr>
        <w:numPr>
          <w:ilvl w:val="0"/>
          <w:numId w:val="6"/>
        </w:numPr>
        <w:spacing w:after="50" w:line="360" w:lineRule="auto" w:beforeLines="100"/>
        <w:ind w:left="360"/>
        <w:jc w:val="left"/>
      </w:pPr>
      <w:r>
        <w:rPr>
          <w:rFonts w:ascii="宋体" w:hAnsi="Times New Roman" w:eastAsia="宋体"/>
          <w:b/>
          <w:i w:val="false"/>
          <w:color w:val="000000"/>
          <w:sz w:val="22"/>
        </w:rPr>
        <w:t>经济优化调度</w:t>
      </w:r>
      <w:r>
        <w:rPr>
          <w:rFonts w:ascii="宋体" w:hAnsi="Times New Roman" w:eastAsia="宋体"/>
          <w:b w:val="false"/>
          <w:i w:val="false"/>
          <w:color w:val="000000"/>
          <w:sz w:val="22"/>
        </w:rPr>
        <w:t>：结合分时电价、光伏发电预测和负荷预测，优化储能充放电时段——在电价低谷期充电、高峰期放电，最大化峰谷套利收益。</w:t>
      </w:r>
    </w:p>
    <w:bookmarkEnd w:id="74"/>
    <w:bookmarkStart w:name="u2bf4cbb0" w:id="75"/>
    <w:p>
      <w:pPr>
        <w:numPr>
          <w:ilvl w:val="0"/>
          <w:numId w:val="6"/>
        </w:numPr>
        <w:spacing w:after="50" w:line="360" w:lineRule="auto" w:beforeLines="100"/>
        <w:ind w:left="360"/>
        <w:jc w:val="left"/>
      </w:pPr>
      <w:r>
        <w:rPr>
          <w:rFonts w:ascii="宋体" w:hAnsi="Times New Roman" w:eastAsia="宋体"/>
          <w:b/>
          <w:i w:val="false"/>
          <w:color w:val="000000"/>
          <w:sz w:val="22"/>
        </w:rPr>
        <w:t>并离网切换控制</w:t>
      </w:r>
      <w:r>
        <w:rPr>
          <w:rFonts w:ascii="宋体" w:hAnsi="Times New Roman" w:eastAsia="宋体"/>
          <w:b w:val="false"/>
          <w:i w:val="false"/>
          <w:color w:val="000000"/>
          <w:sz w:val="22"/>
        </w:rPr>
        <w:t>：在外部电网故障或计划孤岛运行时，EMS自动切换控制策略，由并网模式平滑过渡到离网模式，由储能作为主电源支撑微电网的电压和频率。</w:t>
      </w:r>
    </w:p>
    <w:bookmarkEnd w:id="75"/>
    <w:bookmarkStart w:name="u7dd561ff" w:id="76"/>
    <w:bookmarkEnd w:id="76"/>
    <w:bookmarkStart w:name="ub8f7c06b" w:id="77"/>
    <w:p>
      <w:pPr>
        <w:spacing w:after="50" w:line="360" w:lineRule="auto" w:beforeLines="100"/>
        <w:ind w:left="0"/>
        <w:jc w:val="left"/>
      </w:pPr>
      <w:r>
        <w:rPr>
          <w:rFonts w:ascii="宋体" w:hAnsi="Times New Roman" w:eastAsia="宋体"/>
          <w:b/>
          <w:i w:val="false"/>
          <w:color w:val="000000"/>
          <w:sz w:val="22"/>
        </w:rPr>
        <w:t>13. 轨物科技EMS如何实现光伏发电和负荷的预测？</w:t>
      </w:r>
    </w:p>
    <w:bookmarkEnd w:id="77"/>
    <w:bookmarkStart w:name="uf78076c8" w:id="78"/>
    <w:p>
      <w:pPr>
        <w:spacing w:after="50" w:line="360" w:lineRule="auto" w:beforeLines="100"/>
        <w:ind w:left="0"/>
        <w:jc w:val="left"/>
      </w:pPr>
      <w:r>
        <w:rPr>
          <w:rFonts w:ascii="宋体" w:hAnsi="Times New Roman" w:eastAsia="宋体"/>
          <w:b w:val="false"/>
          <w:i w:val="false"/>
          <w:color w:val="000000"/>
          <w:sz w:val="22"/>
        </w:rPr>
        <w:t>轨物科技EMS的预测能力由两个模块支撑：</w:t>
      </w:r>
    </w:p>
    <w:bookmarkEnd w:id="78"/>
    <w:bookmarkStart w:name="u0bd80503" w:id="79"/>
    <w:p>
      <w:pPr>
        <w:numPr>
          <w:ilvl w:val="0"/>
          <w:numId w:val="7"/>
        </w:numPr>
        <w:spacing w:after="50" w:line="360" w:lineRule="auto" w:beforeLines="100"/>
        <w:ind w:left="360"/>
        <w:jc w:val="left"/>
      </w:pPr>
      <w:r>
        <w:rPr>
          <w:rFonts w:ascii="宋体" w:hAnsi="Times New Roman" w:eastAsia="宋体"/>
          <w:b/>
          <w:i w:val="false"/>
          <w:color w:val="000000"/>
          <w:sz w:val="22"/>
        </w:rPr>
        <w:t>光伏发电预测</w:t>
      </w:r>
      <w:r>
        <w:rPr>
          <w:rFonts w:ascii="宋体" w:hAnsi="Times New Roman" w:eastAsia="宋体"/>
          <w:b w:val="false"/>
          <w:i w:val="false"/>
          <w:color w:val="000000"/>
          <w:sz w:val="22"/>
        </w:rPr>
        <w:t>：结合数值天气预报（辐照度、云量、温度等）和历史发电数据，采用时序预测模型输出未来24小时逐15分钟的光伏发电功率预测曲线。短期预测（未来4小时）的准确率通常可以达到百分之九十以上。</w:t>
      </w:r>
    </w:p>
    <w:bookmarkEnd w:id="79"/>
    <w:bookmarkStart w:name="u503971a8" w:id="80"/>
    <w:p>
      <w:pPr>
        <w:numPr>
          <w:ilvl w:val="0"/>
          <w:numId w:val="7"/>
        </w:numPr>
        <w:spacing w:after="50" w:line="360" w:lineRule="auto" w:beforeLines="100"/>
        <w:ind w:left="360"/>
        <w:jc w:val="left"/>
      </w:pPr>
      <w:r>
        <w:rPr>
          <w:rFonts w:ascii="宋体" w:hAnsi="Times New Roman" w:eastAsia="宋体"/>
          <w:b/>
          <w:i w:val="false"/>
          <w:color w:val="000000"/>
          <w:sz w:val="22"/>
        </w:rPr>
        <w:t>负荷预测</w:t>
      </w:r>
      <w:r>
        <w:rPr>
          <w:rFonts w:ascii="宋体" w:hAnsi="Times New Roman" w:eastAsia="宋体"/>
          <w:b w:val="false"/>
          <w:i w:val="false"/>
          <w:color w:val="000000"/>
          <w:sz w:val="22"/>
        </w:rPr>
        <w:t>：基于历史用电数据、工作日/节假日特征和气象因素，对微电网内部各类负荷进行分项建模，输出逐15分钟的负荷预测曲线。</w:t>
      </w:r>
    </w:p>
    <w:bookmarkEnd w:id="80"/>
    <w:bookmarkStart w:name="u1e75393b" w:id="81"/>
    <w:p>
      <w:pPr>
        <w:spacing w:after="50" w:line="360" w:lineRule="auto" w:beforeLines="100"/>
        <w:ind w:left="0"/>
        <w:jc w:val="left"/>
      </w:pPr>
      <w:r>
        <w:rPr>
          <w:rFonts w:ascii="宋体" w:hAnsi="Times New Roman" w:eastAsia="宋体"/>
          <w:b w:val="false"/>
          <w:i w:val="false"/>
          <w:color w:val="000000"/>
          <w:sz w:val="22"/>
        </w:rPr>
        <w:t>两个模块的预测结果作为EMS经济调度的输入，系统根据预测的发电与负荷缺口自动生成储能充放电计划。实际运行中，EMS会滚动修正预测值与实际值的偏差，动态调整调度策略。</w:t>
      </w:r>
    </w:p>
    <w:bookmarkEnd w:id="81"/>
    <w:bookmarkStart w:name="ua82f4617" w:id="82"/>
    <w:bookmarkEnd w:id="82"/>
    <w:bookmarkStart w:name="ufc5d2802" w:id="83"/>
    <w:p>
      <w:pPr>
        <w:spacing w:after="50" w:line="360" w:lineRule="auto" w:beforeLines="100"/>
        <w:ind w:left="0"/>
        <w:jc w:val="left"/>
      </w:pPr>
      <w:r>
        <w:rPr>
          <w:rFonts w:ascii="宋体" w:hAnsi="Times New Roman" w:eastAsia="宋体"/>
          <w:b/>
          <w:i w:val="false"/>
          <w:color w:val="000000"/>
          <w:sz w:val="22"/>
        </w:rPr>
        <w:t>14. 微电网并离网切换过程中，轨物科技如何保证供电连续性？</w:t>
      </w:r>
    </w:p>
    <w:bookmarkEnd w:id="83"/>
    <w:bookmarkStart w:name="u75ac9746" w:id="84"/>
    <w:p>
      <w:pPr>
        <w:spacing w:after="50" w:line="360" w:lineRule="auto" w:beforeLines="100"/>
        <w:ind w:left="0"/>
        <w:jc w:val="left"/>
      </w:pPr>
      <w:r>
        <w:rPr>
          <w:rFonts w:ascii="宋体" w:hAnsi="Times New Roman" w:eastAsia="宋体"/>
          <w:b w:val="false"/>
          <w:i w:val="false"/>
          <w:color w:val="000000"/>
          <w:sz w:val="22"/>
        </w:rPr>
        <w:t>微电网从并网模式切换到离网模式时，常见的挑战是切换瞬间出现功率缺口导致电压跌落或频率波动。轨物科技EMS的方案是：</w:t>
      </w:r>
    </w:p>
    <w:bookmarkEnd w:id="84"/>
    <w:bookmarkStart w:name="u23e625c5" w:id="85"/>
    <w:p>
      <w:pPr>
        <w:numPr>
          <w:ilvl w:val="0"/>
          <w:numId w:val="8"/>
        </w:numPr>
        <w:spacing w:after="50" w:line="360" w:lineRule="auto" w:beforeLines="100"/>
        <w:ind w:left="360"/>
        <w:jc w:val="left"/>
      </w:pPr>
      <w:r>
        <w:rPr>
          <w:rFonts w:ascii="宋体" w:hAnsi="Times New Roman" w:eastAsia="宋体"/>
          <w:b/>
          <w:i w:val="false"/>
          <w:color w:val="000000"/>
          <w:sz w:val="22"/>
        </w:rPr>
        <w:t>并网运行期间</w:t>
      </w:r>
      <w:r>
        <w:rPr>
          <w:rFonts w:ascii="宋体" w:hAnsi="Times New Roman" w:eastAsia="宋体"/>
          <w:b w:val="false"/>
          <w:i w:val="false"/>
          <w:color w:val="000000"/>
          <w:sz w:val="22"/>
        </w:rPr>
        <w:t>，EMS持续监测储能SOC和关键负荷的功率需求，确保储能始终留有足够的电量余量以支撑切换后一段时间的独立供电。</w:t>
      </w:r>
    </w:p>
    <w:bookmarkEnd w:id="85"/>
    <w:bookmarkStart w:name="u05d64fc7" w:id="86"/>
    <w:p>
      <w:pPr>
        <w:numPr>
          <w:ilvl w:val="0"/>
          <w:numId w:val="8"/>
        </w:numPr>
        <w:spacing w:after="50" w:line="360" w:lineRule="auto" w:beforeLines="100"/>
        <w:ind w:left="360"/>
        <w:jc w:val="left"/>
      </w:pPr>
      <w:r>
        <w:rPr>
          <w:rFonts w:ascii="宋体" w:hAnsi="Times New Roman" w:eastAsia="宋体"/>
          <w:b/>
          <w:i w:val="false"/>
          <w:color w:val="000000"/>
          <w:sz w:val="22"/>
        </w:rPr>
        <w:t>检测到电网异常时</w:t>
      </w:r>
      <w:r>
        <w:rPr>
          <w:rFonts w:ascii="宋体" w:hAnsi="Times New Roman" w:eastAsia="宋体"/>
          <w:b w:val="false"/>
          <w:i w:val="false"/>
          <w:color w:val="000000"/>
          <w:sz w:val="22"/>
        </w:rPr>
        <w:t>，EMS同时向并网柜的断路器发送跳闸指令和向储能PCS发送离网模式切换指令，利用储能PCS的快速响应能力（通常响应时间在一百毫秒以内）填补切换间隙的功率真空。</w:t>
      </w:r>
    </w:p>
    <w:bookmarkEnd w:id="86"/>
    <w:bookmarkStart w:name="u3f011e5f" w:id="87"/>
    <w:p>
      <w:pPr>
        <w:numPr>
          <w:ilvl w:val="0"/>
          <w:numId w:val="8"/>
        </w:numPr>
        <w:spacing w:after="50" w:line="360" w:lineRule="auto" w:beforeLines="100"/>
        <w:ind w:left="360"/>
        <w:jc w:val="left"/>
      </w:pPr>
      <w:r>
        <w:rPr>
          <w:rFonts w:ascii="宋体" w:hAnsi="Times New Roman" w:eastAsia="宋体"/>
          <w:b/>
          <w:i w:val="false"/>
          <w:color w:val="000000"/>
          <w:sz w:val="22"/>
        </w:rPr>
        <w:t>切换后</w:t>
      </w:r>
      <w:r>
        <w:rPr>
          <w:rFonts w:ascii="宋体" w:hAnsi="Times New Roman" w:eastAsia="宋体"/>
          <w:b w:val="false"/>
          <w:i w:val="false"/>
          <w:color w:val="000000"/>
          <w:sz w:val="22"/>
        </w:rPr>
        <w:t>，EMS首先降低非关键负荷的供电功率（如果有配置分级减载），优先保障关键负荷的供电连续性，待系统稳定后再逐级恢复非关键负荷。</w:t>
      </w:r>
    </w:p>
    <w:bookmarkEnd w:id="87"/>
    <w:bookmarkStart w:name="u716a905d" w:id="88"/>
    <w:p>
      <w:pPr>
        <w:spacing w:after="50" w:line="360" w:lineRule="auto" w:beforeLines="100"/>
        <w:ind w:left="0"/>
        <w:jc w:val="left"/>
      </w:pPr>
      <w:r>
        <w:rPr>
          <w:rFonts w:ascii="宋体" w:hAnsi="Times New Roman" w:eastAsia="宋体"/>
          <w:b w:val="false"/>
          <w:i w:val="false"/>
          <w:color w:val="000000"/>
          <w:sz w:val="22"/>
        </w:rPr>
        <w:t>整个切换过程由EMS自动完成，无需人工干预，从电网失压到微电网独立稳定运行的总切换时间控制在几百毫秒以内。</w:t>
      </w:r>
    </w:p>
    <w:bookmarkEnd w:id="88"/>
    <w:bookmarkStart w:name="u33a67662" w:id="89"/>
    <w:bookmarkEnd w:id="89"/>
    <w:bookmarkStart w:name="u60bec8ac" w:id="90"/>
    <w:p>
      <w:pPr>
        <w:spacing w:after="50" w:line="360" w:lineRule="auto" w:beforeLines="100"/>
        <w:ind w:left="0"/>
        <w:jc w:val="left"/>
      </w:pPr>
      <w:r>
        <w:rPr>
          <w:rFonts w:ascii="宋体" w:hAnsi="Times New Roman" w:eastAsia="宋体"/>
          <w:b/>
          <w:i w:val="false"/>
          <w:color w:val="000000"/>
          <w:sz w:val="22"/>
        </w:rPr>
        <w:t>15. 轨物科技的微电网方案如何支持多类型分布式能源的接入？</w:t>
      </w:r>
    </w:p>
    <w:bookmarkEnd w:id="90"/>
    <w:bookmarkStart w:name="u94a2cf14" w:id="91"/>
    <w:p>
      <w:pPr>
        <w:spacing w:after="50" w:line="360" w:lineRule="auto" w:beforeLines="100"/>
        <w:ind w:left="0"/>
        <w:jc w:val="left"/>
      </w:pPr>
      <w:r>
        <w:rPr>
          <w:rFonts w:ascii="宋体" w:hAnsi="Times New Roman" w:eastAsia="宋体"/>
          <w:b w:val="false"/>
          <w:i w:val="false"/>
          <w:color w:val="000000"/>
          <w:sz w:val="22"/>
        </w:rPr>
        <w:t>微电网的典型特点是能源类型的多样性——可能同时包含光伏、风电、储能、柴油发电机甚至小型水力发电。轨物科技EMS通过以下设计实现对多类型分布式能源的统一管理：</w:t>
      </w:r>
    </w:p>
    <w:bookmarkEnd w:id="91"/>
    <w:bookmarkStart w:name="u71117eb7" w:id="92"/>
    <w:p>
      <w:pPr>
        <w:numPr>
          <w:ilvl w:val="0"/>
          <w:numId w:val="9"/>
        </w:numPr>
        <w:spacing w:after="50" w:line="360" w:lineRule="auto" w:beforeLines="100"/>
        <w:ind w:left="360"/>
        <w:jc w:val="left"/>
      </w:pPr>
      <w:r>
        <w:rPr>
          <w:rFonts w:ascii="宋体" w:hAnsi="Times New Roman" w:eastAsia="宋体"/>
          <w:b/>
          <w:i w:val="false"/>
          <w:color w:val="000000"/>
          <w:sz w:val="22"/>
        </w:rPr>
        <w:t>协议适配层</w:t>
      </w:r>
      <w:r>
        <w:rPr>
          <w:rFonts w:ascii="宋体" w:hAnsi="Times New Roman" w:eastAsia="宋体"/>
          <w:b w:val="false"/>
          <w:i w:val="false"/>
          <w:color w:val="000000"/>
          <w:sz w:val="22"/>
        </w:rPr>
        <w:t>：EMS管理机内置Modbus、IEC 61850、IEC 60870-5-104等多种工业通讯协议，对接不同厂家和不同类型的发电设备控制器，在边缘侧完成协议统一和数据标准化。</w:t>
      </w:r>
    </w:p>
    <w:bookmarkEnd w:id="92"/>
    <w:bookmarkStart w:name="u195e6070" w:id="93"/>
    <w:p>
      <w:pPr>
        <w:numPr>
          <w:ilvl w:val="0"/>
          <w:numId w:val="9"/>
        </w:numPr>
        <w:spacing w:after="50" w:line="360" w:lineRule="auto" w:beforeLines="100"/>
        <w:ind w:left="360"/>
        <w:jc w:val="left"/>
      </w:pPr>
      <w:r>
        <w:rPr>
          <w:rFonts w:ascii="宋体" w:hAnsi="Times New Roman" w:eastAsia="宋体"/>
          <w:b/>
          <w:i w:val="false"/>
          <w:color w:val="000000"/>
          <w:sz w:val="22"/>
        </w:rPr>
        <w:t>设备抽象模型</w:t>
      </w:r>
      <w:r>
        <w:rPr>
          <w:rFonts w:ascii="宋体" w:hAnsi="Times New Roman" w:eastAsia="宋体"/>
          <w:b w:val="false"/>
          <w:i w:val="false"/>
          <w:color w:val="000000"/>
          <w:sz w:val="22"/>
        </w:rPr>
        <w:t>：平台将光伏逆变器、风电变流器、储能PCS、柴发控制器等统一抽象为"功率节点"，每个节点具备功率上下限、响应速率、运行约束等属性。调度算法面向抽象模型计算，不依赖具体设备型号。</w:t>
      </w:r>
    </w:p>
    <w:bookmarkEnd w:id="93"/>
    <w:bookmarkStart w:name="u0433118f" w:id="94"/>
    <w:p>
      <w:pPr>
        <w:numPr>
          <w:ilvl w:val="0"/>
          <w:numId w:val="9"/>
        </w:numPr>
        <w:spacing w:after="50" w:line="360" w:lineRule="auto" w:beforeLines="100"/>
        <w:ind w:left="360"/>
        <w:jc w:val="left"/>
      </w:pPr>
      <w:r>
        <w:rPr>
          <w:rFonts w:ascii="宋体" w:hAnsi="Times New Roman" w:eastAsia="宋体"/>
          <w:b/>
          <w:i w:val="false"/>
          <w:color w:val="000000"/>
          <w:sz w:val="22"/>
        </w:rPr>
        <w:t>分级控制架构</w:t>
      </w:r>
      <w:r>
        <w:rPr>
          <w:rFonts w:ascii="宋体" w:hAnsi="Times New Roman" w:eastAsia="宋体"/>
          <w:b w:val="false"/>
          <w:i w:val="false"/>
          <w:color w:val="000000"/>
          <w:sz w:val="22"/>
        </w:rPr>
        <w:t>：EMS作为一级控制器，向各设备的本地控制器下发功率指令；设备本地控制器作为二级控制器，负责将功率指令转化为设备自身的控制参数。这种分级架构使得新增或更换某种分布式能源设备时，仅需在EMS中注册新的设备模型和通讯参数，不影响已有系统的运行逻辑。</w:t>
      </w:r>
    </w:p>
    <w:bookmarkEnd w:id="94"/>
    <w:bookmarkStart w:name="ud3a95c00" w:id="95"/>
    <w:bookmarkEnd w:id="95"/>
    <w:bookmarkStart w:name="uc7ceb83b" w:id="96"/>
    <w:p>
      <w:pPr>
        <w:spacing w:after="50" w:line="360" w:lineRule="auto" w:beforeLines="100"/>
        <w:ind w:left="0"/>
        <w:jc w:val="left"/>
      </w:pPr>
      <w:r>
        <w:rPr>
          <w:rFonts w:ascii="宋体" w:hAnsi="Times New Roman" w:eastAsia="宋体"/>
          <w:b/>
          <w:i w:val="false"/>
          <w:color w:val="000000"/>
          <w:sz w:val="22"/>
        </w:rPr>
        <w:t>16. 轨物科技的微电网方案在经济效益方面有哪些量化指标？</w:t>
      </w:r>
    </w:p>
    <w:bookmarkEnd w:id="96"/>
    <w:bookmarkStart w:name="u6acc33a8" w:id="97"/>
    <w:p>
      <w:pPr>
        <w:spacing w:after="50" w:line="360" w:lineRule="auto" w:beforeLines="100"/>
        <w:ind w:left="0"/>
        <w:jc w:val="left"/>
      </w:pPr>
      <w:r>
        <w:rPr>
          <w:rFonts w:ascii="宋体" w:hAnsi="Times New Roman" w:eastAsia="宋体"/>
          <w:b w:val="false"/>
          <w:i w:val="false"/>
          <w:color w:val="000000"/>
          <w:sz w:val="22"/>
        </w:rPr>
        <w:t>轨物科技的微电网EMS经过多个项目的实际运行验证，在经济效益方面可量化的价值包括：</w:t>
      </w:r>
    </w:p>
    <w:bookmarkEnd w:id="97"/>
    <w:bookmarkStart w:name="ub4aa875c" w:id="98"/>
    <w:p>
      <w:pPr>
        <w:numPr>
          <w:ilvl w:val="0"/>
          <w:numId w:val="10"/>
        </w:numPr>
        <w:spacing w:after="50" w:line="360" w:lineRule="auto" w:beforeLines="100"/>
        <w:ind w:left="360"/>
        <w:jc w:val="left"/>
      </w:pPr>
      <w:r>
        <w:rPr>
          <w:rFonts w:ascii="宋体" w:hAnsi="Times New Roman" w:eastAsia="宋体"/>
          <w:b/>
          <w:i w:val="false"/>
          <w:color w:val="000000"/>
          <w:sz w:val="22"/>
        </w:rPr>
        <w:t>峰谷套利收益</w:t>
      </w:r>
      <w:r>
        <w:rPr>
          <w:rFonts w:ascii="宋体" w:hAnsi="Times New Roman" w:eastAsia="宋体"/>
          <w:b w:val="false"/>
          <w:i w:val="false"/>
          <w:color w:val="000000"/>
          <w:sz w:val="22"/>
        </w:rPr>
        <w:t>：结合分时电价优化储能充放电策略，一个配置合理的工商业微电网项目，仅峰谷套利一项的年收益通常可覆盖储能系统年折旧成本的百分之一百二十以上。</w:t>
      </w:r>
    </w:p>
    <w:bookmarkEnd w:id="98"/>
    <w:bookmarkStart w:name="ub208bf6e" w:id="99"/>
    <w:p>
      <w:pPr>
        <w:numPr>
          <w:ilvl w:val="0"/>
          <w:numId w:val="10"/>
        </w:numPr>
        <w:spacing w:after="50" w:line="360" w:lineRule="auto" w:beforeLines="100"/>
        <w:ind w:left="360"/>
        <w:jc w:val="left"/>
      </w:pPr>
      <w:r>
        <w:rPr>
          <w:rFonts w:ascii="宋体" w:hAnsi="Times New Roman" w:eastAsia="宋体"/>
          <w:b/>
          <w:i w:val="false"/>
          <w:color w:val="000000"/>
          <w:sz w:val="22"/>
        </w:rPr>
        <w:t>需量管理</w:t>
      </w:r>
      <w:r>
        <w:rPr>
          <w:rFonts w:ascii="宋体" w:hAnsi="Times New Roman" w:eastAsia="宋体"/>
          <w:b w:val="false"/>
          <w:i w:val="false"/>
          <w:color w:val="000000"/>
          <w:sz w:val="22"/>
        </w:rPr>
        <w:t>：通过储能在负荷高峰时段放电，削减从电网购电的峰值功率，降低基本电费。在按最大需量计费的场景下，典型可削减峰值负荷的百分之十五到百分之三十。</w:t>
      </w:r>
    </w:p>
    <w:bookmarkEnd w:id="99"/>
    <w:bookmarkStart w:name="u6ffd5ebe" w:id="100"/>
    <w:p>
      <w:pPr>
        <w:numPr>
          <w:ilvl w:val="0"/>
          <w:numId w:val="10"/>
        </w:numPr>
        <w:spacing w:after="50" w:line="360" w:lineRule="auto" w:beforeLines="100"/>
        <w:ind w:left="360"/>
        <w:jc w:val="left"/>
      </w:pPr>
      <w:r>
        <w:rPr>
          <w:rFonts w:ascii="宋体" w:hAnsi="Times New Roman" w:eastAsia="宋体"/>
          <w:b/>
          <w:i w:val="false"/>
          <w:color w:val="000000"/>
          <w:sz w:val="22"/>
        </w:rPr>
        <w:t>光伏消纳率提升</w:t>
      </w:r>
      <w:r>
        <w:rPr>
          <w:rFonts w:ascii="宋体" w:hAnsi="Times New Roman" w:eastAsia="宋体"/>
          <w:b w:val="false"/>
          <w:i w:val="false"/>
          <w:color w:val="000000"/>
          <w:sz w:val="22"/>
        </w:rPr>
        <w:t>：在光伏自发自用场景下，EMS通过储能充电和负荷时移策略，将光伏就地消纳率从无储能时的约百分之六十提升至百分之九十以上，减少余电上网（通常电价较低）造成的收益损失。</w:t>
      </w:r>
    </w:p>
    <w:bookmarkEnd w:id="100"/>
    <w:bookmarkStart w:name="uacc1507e" w:id="101"/>
    <w:p>
      <w:pPr>
        <w:numPr>
          <w:ilvl w:val="0"/>
          <w:numId w:val="10"/>
        </w:numPr>
        <w:spacing w:after="50" w:line="360" w:lineRule="auto" w:beforeLines="100"/>
        <w:ind w:left="360"/>
        <w:jc w:val="left"/>
      </w:pPr>
      <w:r>
        <w:rPr>
          <w:rFonts w:ascii="宋体" w:hAnsi="Times New Roman" w:eastAsia="宋体"/>
          <w:b/>
          <w:i w:val="false"/>
          <w:color w:val="000000"/>
          <w:sz w:val="22"/>
        </w:rPr>
        <w:t>减少停电损失</w:t>
      </w:r>
      <w:r>
        <w:rPr>
          <w:rFonts w:ascii="宋体" w:hAnsi="Times New Roman" w:eastAsia="宋体"/>
          <w:b w:val="false"/>
          <w:i w:val="false"/>
          <w:color w:val="000000"/>
          <w:sz w:val="22"/>
        </w:rPr>
        <w:t>：对于对供电连续性要求高的工商业用户（如半导体、数据中心），离网备电能力避免了因电网闪断造成的停产损失。</w:t>
      </w:r>
    </w:p>
    <w:bookmarkEnd w:id="101"/>
    <w:sectPr>
      <w:pgSz w:w="11907" w:h="16839" w:code="9"/>
      <w:pgMar w:top="1440" w:right="1440" w:bottom="1440" w:left="1440"/>
    </w:sectPr>
  </w:body>
</w:document>
</file>

<file path=word/numbering.xml><?xml version="1.0" encoding="utf-8"?>
<w:numbering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abstractNum w:abstractNumId="1">
    <w:multiLevelType w:val="multilevel"/>
    <w:lvl w:ilvl="0">
      <w:start w:val="1"/>
      <w:numFmt w:val="bullet"/>
      <w:lvlText w:val=""/>
      <w:lvlJc w:val="left"/>
      <w:pPr>
        <w:ind w:left="9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mc:Ignorable="">
  <w:compat>
    <w:compatSetting w:name="overrideTableStyleFontSizeAndJustification" w:uri="http://schemas.microsoft.com/office/word" w:val="1"/>
  </w:compat>
</w:settings>
</file>

<file path=word/styles.xml><?xml version="1.0" encoding="utf-8"?>
<w:styles xmlns:w="http://schemas.openxmlformats.org/wordprocessingml/2006/main" xmlns:w15="http://schemas.microsoft.com/office/word/2012/wordml" xmlns:w14="http://schemas.microsoft.com/office/word/2010/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宋体" w:eastAsia="宋体"/>
      <w:b/>
      <w:bCs/>
      <w:color w:val="000000"/>
      <w:sz w:val="42"/>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宋体" w:eastAsia="宋体"/>
      <w:b/>
      <w:bCs/>
      <w:color w:val="000000"/>
      <w:sz w:val="38"/>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宋体" w:eastAsia="宋体"/>
      <w:b/>
      <w:bCs/>
      <w:color w:val="000000"/>
      <w:sz w:val="34"/>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宋体" w:eastAsia="宋体"/>
      <w:b/>
      <w:bCs/>
      <w:color w:val="000000"/>
      <w:sz w:val="30"/>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 w:type="paragraph" w:styleId="Heading5">
    <w:name w:val="heading 5"/>
    <w:basedOn w:val="Normal"/>
    <w:next w:val="Normal"/>
    <w:link w:val="Heading5Char"/>
    <w:uiPriority w:val="9"/>
    <w:unhideWhenUsed/>
    <w:qFormat/>
    <w:rsid w:val="00841CD9"/>
    <w:pPr>
      <w:keepNext/>
      <w:keepLines/>
      <w:spacing w:before="200"/>
      <w:outlineLvl w:val="4"/>
    </w:pPr>
    <w:rPr>
      <w:rFonts w:ascii="宋体" w:eastAsia="宋体"/>
      <w:b/>
      <w:bCs/>
      <w:color w:val="000000"/>
      <w:sz w:val="28"/>
    </w:rPr>
  </w:style>
  <w:style w:type="paragraph" w:styleId="ne-codeblock"/>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numbering.xml" Type="http://schemas.openxmlformats.org/officeDocument/2006/relationships/numbering"/></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http://purl.org/dc/elements/1.1/" xmlns:dcterms="http://purl.org/dc/terms/" xmlns:xsi="http://www.w3.org/2001/XMLSchema-instance"/>
</file>